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94" w:rsidRDefault="00273494">
      <w:pPr>
        <w:rPr>
          <w:b/>
          <w:bCs/>
          <w:sz w:val="28"/>
          <w:szCs w:val="28"/>
        </w:rPr>
      </w:pPr>
    </w:p>
    <w:p w:rsidR="00273494" w:rsidRDefault="00273494">
      <w:pPr>
        <w:jc w:val="center"/>
        <w:rPr>
          <w:rFonts w:ascii="楷体_GB2312" w:eastAsia="楷体_GB2312" w:hAnsi="楷体_GB2312" w:cs="楷体_GB2312"/>
          <w:b/>
          <w:bCs/>
          <w:sz w:val="48"/>
          <w:szCs w:val="48"/>
        </w:rPr>
      </w:pPr>
    </w:p>
    <w:p w:rsidR="00273494" w:rsidRDefault="00273494">
      <w:pPr>
        <w:jc w:val="center"/>
        <w:rPr>
          <w:rFonts w:ascii="楷体_GB2312" w:eastAsia="楷体_GB2312" w:hAnsi="楷体_GB2312" w:cs="楷体_GB2312"/>
          <w:b/>
          <w:bCs/>
          <w:sz w:val="48"/>
          <w:szCs w:val="48"/>
        </w:rPr>
      </w:pPr>
    </w:p>
    <w:p w:rsidR="00273494" w:rsidRDefault="00CF28EC">
      <w:pPr>
        <w:widowControl/>
        <w:jc w:val="left"/>
        <w:rPr>
          <w:rFonts w:ascii="楷体_GB2312" w:eastAsia="楷体_GB2312" w:hAnsi="楷体_GB2312" w:cs="楷体_GB2312"/>
          <w:b/>
          <w:bCs/>
          <w:sz w:val="48"/>
          <w:szCs w:val="48"/>
        </w:rPr>
      </w:pPr>
      <w:r>
        <w:rPr>
          <w:rFonts w:ascii="楷体_GB2312" w:eastAsia="楷体_GB2312" w:hAnsi="楷体_GB2312" w:cs="楷体_GB2312"/>
          <w:b/>
          <w:bCs/>
          <w:sz w:val="48"/>
          <w:szCs w:val="48"/>
        </w:rPr>
        <w:t xml:space="preserve">  </w:t>
      </w:r>
      <w:r>
        <w:rPr>
          <w:rFonts w:ascii="楷体_GB2312" w:eastAsia="楷体_GB2312" w:hAnsi="楷体_GB2312" w:cs="楷体_GB2312"/>
          <w:b/>
          <w:bCs/>
          <w:noProof/>
          <w:sz w:val="48"/>
          <w:szCs w:val="48"/>
        </w:rPr>
        <w:drawing>
          <wp:inline distT="0" distB="0" distL="114300" distR="114300">
            <wp:extent cx="1238250" cy="1266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楷体_GB2312" w:cs="楷体_GB2312" w:hint="eastAsia"/>
          <w:b/>
          <w:bCs/>
          <w:sz w:val="48"/>
          <w:szCs w:val="48"/>
        </w:rPr>
        <w:t>石家庄城市经济职业学院</w:t>
      </w: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273494">
      <w:pPr>
        <w:jc w:val="center"/>
        <w:rPr>
          <w:rFonts w:ascii="黑体" w:eastAsia="黑体" w:hAnsi="黑体"/>
          <w:b/>
          <w:bCs/>
          <w:sz w:val="72"/>
          <w:szCs w:val="72"/>
        </w:rPr>
      </w:pPr>
    </w:p>
    <w:p w:rsidR="00273494" w:rsidRDefault="00CF28EC">
      <w:pPr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/>
          <w:b/>
          <w:bCs/>
          <w:sz w:val="52"/>
          <w:szCs w:val="52"/>
        </w:rPr>
        <w:t>201</w:t>
      </w:r>
      <w:r>
        <w:rPr>
          <w:rFonts w:ascii="黑体" w:eastAsia="黑体" w:hAnsi="黑体" w:hint="eastAsia"/>
          <w:b/>
          <w:bCs/>
          <w:sz w:val="52"/>
          <w:szCs w:val="52"/>
        </w:rPr>
        <w:t>9</w:t>
      </w:r>
      <w:r>
        <w:rPr>
          <w:rFonts w:ascii="黑体" w:eastAsia="黑体" w:hAnsi="黑体" w:hint="eastAsia"/>
          <w:b/>
          <w:bCs/>
          <w:sz w:val="52"/>
          <w:szCs w:val="52"/>
        </w:rPr>
        <w:t>届毕业生就业质量年度报告</w:t>
      </w: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273494">
      <w:pPr>
        <w:rPr>
          <w:b/>
          <w:bCs/>
          <w:sz w:val="30"/>
          <w:szCs w:val="30"/>
        </w:rPr>
      </w:pPr>
    </w:p>
    <w:p w:rsidR="00273494" w:rsidRDefault="00CF28EC">
      <w:pPr>
        <w:jc w:val="center"/>
        <w:rPr>
          <w:b/>
          <w:bCs/>
          <w:sz w:val="32"/>
          <w:szCs w:val="32"/>
        </w:rPr>
        <w:sectPr w:rsidR="00273494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hint="eastAsia"/>
          <w:b/>
          <w:bCs/>
          <w:sz w:val="32"/>
          <w:szCs w:val="32"/>
        </w:rPr>
        <w:t>二零一</w:t>
      </w:r>
      <w:r>
        <w:rPr>
          <w:rFonts w:hint="eastAsia"/>
          <w:b/>
          <w:bCs/>
          <w:sz w:val="32"/>
          <w:szCs w:val="32"/>
        </w:rPr>
        <w:t>九</w:t>
      </w:r>
      <w:r>
        <w:rPr>
          <w:rFonts w:hint="eastAsia"/>
          <w:b/>
          <w:bCs/>
          <w:sz w:val="32"/>
          <w:szCs w:val="32"/>
        </w:rPr>
        <w:t>年十二月</w:t>
      </w:r>
    </w:p>
    <w:p w:rsidR="00273494" w:rsidRDefault="00CF28E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目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录</w:t>
      </w:r>
    </w:p>
    <w:p w:rsidR="00273494" w:rsidRDefault="00CF28EC">
      <w:pPr>
        <w:jc w:val="righ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第一部分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学校概况…………………………………………</w:t>
      </w:r>
      <w:r>
        <w:rPr>
          <w:b/>
          <w:bCs/>
          <w:sz w:val="32"/>
          <w:szCs w:val="32"/>
        </w:rPr>
        <w:t>1</w:t>
      </w:r>
    </w:p>
    <w:p w:rsidR="00273494" w:rsidRDefault="00CF28EC">
      <w:pPr>
        <w:jc w:val="righ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第二部分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基本情况…………………………………………</w:t>
      </w:r>
      <w:r>
        <w:rPr>
          <w:b/>
          <w:bCs/>
          <w:sz w:val="32"/>
          <w:szCs w:val="32"/>
        </w:rPr>
        <w:t>2</w:t>
      </w:r>
    </w:p>
    <w:p w:rsidR="00273494" w:rsidRDefault="00CF28EC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一、毕业生就业总体情况……………………………………</w:t>
      </w:r>
      <w:r>
        <w:rPr>
          <w:sz w:val="30"/>
          <w:szCs w:val="30"/>
        </w:rPr>
        <w:t>2</w:t>
      </w:r>
    </w:p>
    <w:p w:rsidR="00273494" w:rsidRDefault="00CF28EC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二、毕业生去向情况…………………………………………</w:t>
      </w:r>
      <w:r>
        <w:rPr>
          <w:sz w:val="30"/>
          <w:szCs w:val="30"/>
        </w:rPr>
        <w:t>2</w:t>
      </w:r>
    </w:p>
    <w:p w:rsidR="00273494" w:rsidRDefault="00CF28EC">
      <w:pPr>
        <w:tabs>
          <w:tab w:val="left" w:pos="584"/>
        </w:tabs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三、毕业生就业流向性质情况………………………………</w:t>
      </w:r>
      <w:r>
        <w:rPr>
          <w:sz w:val="30"/>
          <w:szCs w:val="30"/>
        </w:rPr>
        <w:t>3</w:t>
      </w:r>
    </w:p>
    <w:p w:rsidR="00273494" w:rsidRDefault="00CF28EC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四、毕业生就业流向地区情况………………………………</w:t>
      </w:r>
      <w:r>
        <w:rPr>
          <w:sz w:val="30"/>
          <w:szCs w:val="30"/>
        </w:rPr>
        <w:t>3</w:t>
      </w:r>
    </w:p>
    <w:p w:rsidR="00273494" w:rsidRDefault="00CF28EC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五、毕业生分学院分专业就业情况…………………………</w:t>
      </w:r>
      <w:r>
        <w:rPr>
          <w:sz w:val="30"/>
          <w:szCs w:val="30"/>
        </w:rPr>
        <w:t>4</w:t>
      </w:r>
    </w:p>
    <w:p w:rsidR="00273494" w:rsidRDefault="00CF28EC">
      <w:pPr>
        <w:jc w:val="righ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第三部分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人才培养</w:t>
      </w:r>
      <w:r>
        <w:rPr>
          <w:rFonts w:hint="eastAsia"/>
          <w:b/>
          <w:bCs/>
          <w:sz w:val="32"/>
          <w:szCs w:val="32"/>
        </w:rPr>
        <w:t>工作特点……………………………</w:t>
      </w:r>
      <w:r>
        <w:rPr>
          <w:rFonts w:hint="eastAsia"/>
          <w:b/>
          <w:bCs/>
          <w:sz w:val="32"/>
          <w:szCs w:val="32"/>
        </w:rPr>
        <w:t>…</w:t>
      </w:r>
      <w:r>
        <w:rPr>
          <w:b/>
          <w:bCs/>
          <w:sz w:val="32"/>
          <w:szCs w:val="32"/>
        </w:rPr>
        <w:t>5</w:t>
      </w:r>
    </w:p>
    <w:p w:rsidR="00273494" w:rsidRDefault="00CF28EC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>
        <w:rPr>
          <w:rFonts w:hint="eastAsia"/>
          <w:sz w:val="30"/>
          <w:szCs w:val="30"/>
        </w:rPr>
        <w:t>人才培养过程不断优化………………………………</w:t>
      </w:r>
      <w:r>
        <w:rPr>
          <w:rFonts w:hint="eastAsia"/>
          <w:sz w:val="30"/>
          <w:szCs w:val="30"/>
        </w:rPr>
        <w:t>…</w:t>
      </w:r>
      <w:r>
        <w:rPr>
          <w:sz w:val="30"/>
          <w:szCs w:val="30"/>
        </w:rPr>
        <w:t>5</w:t>
      </w:r>
    </w:p>
    <w:p w:rsidR="00273494" w:rsidRDefault="00CF28EC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>
        <w:rPr>
          <w:rFonts w:hint="eastAsia"/>
          <w:sz w:val="30"/>
          <w:szCs w:val="30"/>
        </w:rPr>
        <w:t>人才培养质量持续改进</w:t>
      </w:r>
      <w:r>
        <w:rPr>
          <w:rFonts w:hint="eastAsia"/>
          <w:sz w:val="30"/>
          <w:szCs w:val="30"/>
        </w:rPr>
        <w:t>………………</w:t>
      </w:r>
      <w:r>
        <w:rPr>
          <w:rFonts w:hint="eastAsia"/>
          <w:sz w:val="30"/>
          <w:szCs w:val="30"/>
        </w:rPr>
        <w:t>…………………</w:t>
      </w:r>
      <w:r>
        <w:rPr>
          <w:rFonts w:hint="eastAsia"/>
          <w:sz w:val="30"/>
          <w:szCs w:val="30"/>
        </w:rPr>
        <w:t>7</w:t>
      </w:r>
    </w:p>
    <w:p w:rsidR="00273494" w:rsidRDefault="00CF28EC">
      <w:pPr>
        <w:tabs>
          <w:tab w:val="left" w:pos="584"/>
        </w:tabs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三、</w:t>
      </w:r>
      <w:r>
        <w:rPr>
          <w:rFonts w:hint="eastAsia"/>
          <w:sz w:val="30"/>
          <w:szCs w:val="30"/>
        </w:rPr>
        <w:t>人才培养的创新尝试与主要举措……</w:t>
      </w:r>
      <w:r>
        <w:rPr>
          <w:rFonts w:hint="eastAsia"/>
          <w:sz w:val="30"/>
          <w:szCs w:val="30"/>
        </w:rPr>
        <w:t>…………………</w:t>
      </w:r>
      <w:r>
        <w:rPr>
          <w:rFonts w:hint="eastAsia"/>
          <w:sz w:val="30"/>
          <w:szCs w:val="30"/>
        </w:rPr>
        <w:t>7</w:t>
      </w:r>
    </w:p>
    <w:p w:rsidR="00273494" w:rsidRDefault="00CF28EC">
      <w:pPr>
        <w:jc w:val="righ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第四部分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就业质量分析…………………………………</w:t>
      </w:r>
      <w:r>
        <w:rPr>
          <w:rFonts w:hint="eastAsia"/>
          <w:b/>
          <w:bCs/>
          <w:sz w:val="32"/>
          <w:szCs w:val="32"/>
        </w:rPr>
        <w:t>12</w:t>
      </w:r>
    </w:p>
    <w:p w:rsidR="00273494" w:rsidRDefault="00CF28EC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一、用人单位满意度分析…………………………………</w:t>
      </w:r>
      <w:r>
        <w:rPr>
          <w:rFonts w:hint="eastAsia"/>
          <w:sz w:val="30"/>
          <w:szCs w:val="30"/>
        </w:rPr>
        <w:t>12</w:t>
      </w:r>
    </w:p>
    <w:p w:rsidR="00273494" w:rsidRDefault="00CF28EC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二、毕业生就业状况分析…………………………………</w:t>
      </w:r>
      <w:r>
        <w:rPr>
          <w:rFonts w:hint="eastAsia"/>
          <w:sz w:val="30"/>
          <w:szCs w:val="30"/>
        </w:rPr>
        <w:t>13</w:t>
      </w:r>
    </w:p>
    <w:p w:rsidR="00273494" w:rsidRDefault="00CF28EC">
      <w:pPr>
        <w:jc w:val="righ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第五部分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对招生、教育教学的反馈………………………</w:t>
      </w:r>
      <w:r>
        <w:rPr>
          <w:rFonts w:hint="eastAsia"/>
          <w:b/>
          <w:bCs/>
          <w:sz w:val="32"/>
          <w:szCs w:val="32"/>
        </w:rPr>
        <w:t>15</w:t>
      </w:r>
    </w:p>
    <w:p w:rsidR="00273494" w:rsidRDefault="00CF28EC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一、结合就业形势，合理制定招生计划…………………</w:t>
      </w:r>
      <w:r>
        <w:rPr>
          <w:rFonts w:hint="eastAsia"/>
          <w:sz w:val="30"/>
          <w:szCs w:val="30"/>
        </w:rPr>
        <w:t>15</w:t>
      </w:r>
    </w:p>
    <w:p w:rsidR="00273494" w:rsidRDefault="00CF28EC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二、结合就业实际，改革人才培养模式…………………</w:t>
      </w:r>
      <w:r>
        <w:rPr>
          <w:rFonts w:hint="eastAsia"/>
          <w:sz w:val="30"/>
          <w:szCs w:val="30"/>
        </w:rPr>
        <w:t>15</w:t>
      </w:r>
    </w:p>
    <w:p w:rsidR="00273494" w:rsidRDefault="00CF28EC">
      <w:pPr>
        <w:jc w:val="right"/>
        <w:rPr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第六部分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结束语……………………………………………</w:t>
      </w:r>
      <w:r>
        <w:rPr>
          <w:rFonts w:hint="eastAsia"/>
          <w:b/>
          <w:bCs/>
          <w:sz w:val="32"/>
          <w:szCs w:val="32"/>
        </w:rPr>
        <w:t>17</w:t>
      </w:r>
    </w:p>
    <w:p w:rsidR="00273494" w:rsidRDefault="00273494">
      <w:pPr>
        <w:jc w:val="right"/>
        <w:rPr>
          <w:b/>
          <w:bCs/>
          <w:sz w:val="30"/>
          <w:szCs w:val="30"/>
        </w:rPr>
        <w:sectPr w:rsidR="0027349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CF28EC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第一部分</w:t>
      </w:r>
      <w:r>
        <w:rPr>
          <w:b/>
          <w:bCs/>
          <w:sz w:val="30"/>
          <w:szCs w:val="30"/>
        </w:rPr>
        <w:t xml:space="preserve">   </w:t>
      </w:r>
      <w:r>
        <w:rPr>
          <w:rFonts w:hint="eastAsia"/>
          <w:b/>
          <w:bCs/>
          <w:sz w:val="30"/>
          <w:szCs w:val="30"/>
        </w:rPr>
        <w:t>学校概况</w:t>
      </w:r>
    </w:p>
    <w:p w:rsidR="00273494" w:rsidRDefault="00273494">
      <w:pPr>
        <w:ind w:firstLineChars="200" w:firstLine="560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</w:p>
    <w:p w:rsidR="00273494" w:rsidRDefault="00CF28EC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学院成立于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2001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年，是河北省首批民办全日制普通高等院校。</w:t>
      </w:r>
      <w:r>
        <w:rPr>
          <w:rFonts w:ascii="宋体" w:hAnsi="宋体" w:cs="宋体" w:hint="eastAsia"/>
          <w:sz w:val="28"/>
          <w:szCs w:val="28"/>
        </w:rPr>
        <w:t>石家庄城市经济职业学院是河北省人民政府批准、教育部备案，纳入国家统一招生计划，具有独立颁发国家承认学历证书资格的全日制普通高等院校。学院秉持市场化思维、国际化视野、特色化发展的办学理念，恪守多元集纳、自强创新的办学精神，弘扬务实、勤勉、行胜于言的校风，是一所理念超前，模式新颖，极具国际化特色的应用型高等学府。</w:t>
      </w:r>
    </w:p>
    <w:p w:rsidR="00273494" w:rsidRDefault="00CF28EC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院坚持“以服务为宗旨，以就业为导向”的办学方针，遵循以质量为中心、以创新为灵魂、以能力培养为主线的办学原则，坚持产学研结合，实行按岗需求，定向培养和订单教育，致力于培养学生学会学习、学会思考、学会表</w:t>
      </w:r>
      <w:r>
        <w:rPr>
          <w:rFonts w:ascii="宋体" w:hAnsi="宋体" w:cs="宋体" w:hint="eastAsia"/>
          <w:sz w:val="28"/>
          <w:szCs w:val="28"/>
        </w:rPr>
        <w:t>达的意识和能力，形成了“行业主导式”人才培养模式，受到广大学生、家长的普遍好评和良好赞誉。</w:t>
      </w:r>
    </w:p>
    <w:p w:rsidR="00273494" w:rsidRDefault="00CF28EC">
      <w:pPr>
        <w:pStyle w:val="a5"/>
        <w:widowControl/>
        <w:tabs>
          <w:tab w:val="left" w:pos="0"/>
        </w:tabs>
        <w:spacing w:before="0" w:beforeAutospacing="0" w:after="0" w:afterAutospacing="0" w:line="30" w:lineRule="atLeast"/>
        <w:ind w:leftChars="3" w:left="6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目前，学校已建成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四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个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二级学院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，招生专业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49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个，形成了以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经济专业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为主体，电子信息类、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交通运输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类、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医护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类、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建筑工程类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为补充的专业格局，适应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京津冀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区域经济社会发展需要。</w:t>
      </w:r>
    </w:p>
    <w:p w:rsidR="00273494" w:rsidRDefault="00CF28EC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学院与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00</w:t>
      </w:r>
      <w:r>
        <w:rPr>
          <w:rFonts w:ascii="宋体" w:hAnsi="宋体" w:cs="宋体" w:hint="eastAsia"/>
          <w:sz w:val="28"/>
          <w:szCs w:val="28"/>
        </w:rPr>
        <w:t>余家用人单位建立了长期的人才供求关系，形成自主、广泛、强大的就业网络。学院还与国内银行、铁路、民航、教育等多家单位签署了联合培养协议。近年来学院毕业生均以“职业化程度高、综合能力素质强”的竞争优势受到用人单位欢迎。</w:t>
      </w:r>
    </w:p>
    <w:p w:rsidR="00273494" w:rsidRDefault="00273494">
      <w:pPr>
        <w:rPr>
          <w:b/>
          <w:bCs/>
          <w:sz w:val="30"/>
          <w:szCs w:val="30"/>
        </w:rPr>
      </w:pPr>
    </w:p>
    <w:p w:rsidR="00273494" w:rsidRDefault="00CF28EC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第二部分</w:t>
      </w:r>
      <w:r>
        <w:rPr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基本情况</w:t>
      </w:r>
    </w:p>
    <w:p w:rsidR="00273494" w:rsidRDefault="00273494">
      <w:pPr>
        <w:ind w:firstLineChars="200" w:firstLine="201"/>
        <w:jc w:val="center"/>
        <w:rPr>
          <w:b/>
          <w:bCs/>
          <w:sz w:val="10"/>
          <w:szCs w:val="10"/>
        </w:rPr>
      </w:pPr>
    </w:p>
    <w:p w:rsidR="00273494" w:rsidRDefault="00CF28EC">
      <w:pPr>
        <w:ind w:leftChars="200" w:left="42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一、毕业生就业总体情况</w:t>
      </w:r>
    </w:p>
    <w:p w:rsidR="00273494" w:rsidRDefault="00CF28EC">
      <w:pPr>
        <w:jc w:val="left"/>
        <w:rPr>
          <w:sz w:val="24"/>
        </w:rPr>
      </w:pPr>
      <w:r>
        <w:rPr>
          <w:sz w:val="24"/>
        </w:rPr>
        <w:t xml:space="preserve">      </w:t>
      </w:r>
      <w:r>
        <w:rPr>
          <w:rFonts w:hint="eastAsia"/>
          <w:sz w:val="24"/>
        </w:rPr>
        <w:t>表</w:t>
      </w:r>
      <w:r>
        <w:rPr>
          <w:sz w:val="24"/>
        </w:rPr>
        <w:t>1:201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届</w:t>
      </w:r>
      <w:r>
        <w:rPr>
          <w:sz w:val="24"/>
        </w:rPr>
        <w:t>——201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届毕业生就业率情况</w:t>
      </w:r>
    </w:p>
    <w:tbl>
      <w:tblPr>
        <w:tblpPr w:leftFromText="180" w:rightFromText="180" w:vertAnchor="text" w:horzAnchor="page" w:tblpX="1945" w:tblpY="152"/>
        <w:tblOverlap w:val="never"/>
        <w:tblW w:w="7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1811"/>
        <w:gridCol w:w="1809"/>
        <w:gridCol w:w="1810"/>
      </w:tblGrid>
      <w:tr w:rsidR="00273494">
        <w:trPr>
          <w:trHeight w:hRule="exact" w:val="806"/>
        </w:trPr>
        <w:tc>
          <w:tcPr>
            <w:tcW w:w="2377" w:type="dxa"/>
            <w:vAlign w:val="center"/>
          </w:tcPr>
          <w:p w:rsidR="00273494" w:rsidRDefault="00CF28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届别</w:t>
            </w:r>
          </w:p>
        </w:tc>
        <w:tc>
          <w:tcPr>
            <w:tcW w:w="1811" w:type="dxa"/>
            <w:vAlign w:val="center"/>
          </w:tcPr>
          <w:p w:rsidR="00273494" w:rsidRDefault="00CF28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毕业人数</w:t>
            </w:r>
          </w:p>
        </w:tc>
        <w:tc>
          <w:tcPr>
            <w:tcW w:w="1809" w:type="dxa"/>
            <w:vAlign w:val="center"/>
          </w:tcPr>
          <w:p w:rsidR="00273494" w:rsidRDefault="00CF28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就业人数</w:t>
            </w:r>
          </w:p>
        </w:tc>
        <w:tc>
          <w:tcPr>
            <w:tcW w:w="1810" w:type="dxa"/>
            <w:vAlign w:val="center"/>
          </w:tcPr>
          <w:p w:rsidR="00273494" w:rsidRDefault="00CF28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就业率</w:t>
            </w:r>
          </w:p>
        </w:tc>
      </w:tr>
      <w:tr w:rsidR="00273494">
        <w:trPr>
          <w:trHeight w:hRule="exact" w:val="806"/>
        </w:trPr>
        <w:tc>
          <w:tcPr>
            <w:tcW w:w="2377" w:type="dxa"/>
            <w:vAlign w:val="center"/>
          </w:tcPr>
          <w:p w:rsidR="00273494" w:rsidRDefault="00CF28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届</w:t>
            </w:r>
          </w:p>
        </w:tc>
        <w:tc>
          <w:tcPr>
            <w:tcW w:w="1811" w:type="dxa"/>
            <w:vAlign w:val="center"/>
          </w:tcPr>
          <w:p w:rsidR="00273494" w:rsidRDefault="00CF28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1999</w:t>
            </w:r>
          </w:p>
        </w:tc>
        <w:tc>
          <w:tcPr>
            <w:tcW w:w="1809" w:type="dxa"/>
            <w:vAlign w:val="center"/>
          </w:tcPr>
          <w:p w:rsidR="00273494" w:rsidRDefault="00CF28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1146</w:t>
            </w:r>
          </w:p>
        </w:tc>
        <w:tc>
          <w:tcPr>
            <w:tcW w:w="1810" w:type="dxa"/>
            <w:vAlign w:val="center"/>
          </w:tcPr>
          <w:p w:rsidR="00273494" w:rsidRDefault="00CF28E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57.33%</w:t>
            </w:r>
          </w:p>
        </w:tc>
      </w:tr>
      <w:tr w:rsidR="00273494">
        <w:trPr>
          <w:trHeight w:hRule="exact" w:val="806"/>
        </w:trPr>
        <w:tc>
          <w:tcPr>
            <w:tcW w:w="2377" w:type="dxa"/>
            <w:vAlign w:val="center"/>
          </w:tcPr>
          <w:p w:rsidR="00273494" w:rsidRDefault="00CF28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2018</w:t>
            </w:r>
            <w:r>
              <w:rPr>
                <w:rFonts w:hint="eastAsia"/>
                <w:szCs w:val="21"/>
              </w:rPr>
              <w:t>届</w:t>
            </w:r>
          </w:p>
        </w:tc>
        <w:tc>
          <w:tcPr>
            <w:tcW w:w="1811" w:type="dxa"/>
            <w:vAlign w:val="center"/>
          </w:tcPr>
          <w:p w:rsidR="00273494" w:rsidRDefault="00CF28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980</w:t>
            </w:r>
          </w:p>
        </w:tc>
        <w:tc>
          <w:tcPr>
            <w:tcW w:w="1809" w:type="dxa"/>
            <w:vAlign w:val="center"/>
          </w:tcPr>
          <w:p w:rsidR="00273494" w:rsidRDefault="00CF28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665</w:t>
            </w:r>
          </w:p>
        </w:tc>
        <w:tc>
          <w:tcPr>
            <w:tcW w:w="1810" w:type="dxa"/>
            <w:vAlign w:val="center"/>
          </w:tcPr>
          <w:p w:rsidR="00273494" w:rsidRDefault="00CF28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68</w:t>
            </w:r>
            <w:r>
              <w:rPr>
                <w:rFonts w:hint="eastAsia"/>
                <w:szCs w:val="21"/>
              </w:rPr>
              <w:t>%</w:t>
            </w:r>
          </w:p>
        </w:tc>
      </w:tr>
      <w:tr w:rsidR="00273494">
        <w:trPr>
          <w:trHeight w:hRule="exact" w:val="815"/>
        </w:trPr>
        <w:tc>
          <w:tcPr>
            <w:tcW w:w="2377" w:type="dxa"/>
            <w:vAlign w:val="center"/>
          </w:tcPr>
          <w:p w:rsidR="00273494" w:rsidRDefault="00CF28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</w:t>
            </w:r>
            <w:r>
              <w:rPr>
                <w:rFonts w:hint="eastAsia"/>
                <w:szCs w:val="21"/>
              </w:rPr>
              <w:t>届</w:t>
            </w:r>
          </w:p>
        </w:tc>
        <w:tc>
          <w:tcPr>
            <w:tcW w:w="1811" w:type="dxa"/>
            <w:vAlign w:val="center"/>
          </w:tcPr>
          <w:p w:rsidR="00273494" w:rsidRDefault="00CF28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617</w:t>
            </w:r>
          </w:p>
        </w:tc>
        <w:tc>
          <w:tcPr>
            <w:tcW w:w="1809" w:type="dxa"/>
            <w:vAlign w:val="center"/>
          </w:tcPr>
          <w:p w:rsidR="00273494" w:rsidRDefault="00CF28EC">
            <w:pPr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>388</w:t>
            </w:r>
          </w:p>
        </w:tc>
        <w:tc>
          <w:tcPr>
            <w:tcW w:w="1810" w:type="dxa"/>
            <w:vAlign w:val="center"/>
          </w:tcPr>
          <w:p w:rsidR="00273494" w:rsidRDefault="00CF28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62.88</w:t>
            </w:r>
            <w:r>
              <w:rPr>
                <w:rFonts w:hint="eastAsia"/>
                <w:szCs w:val="21"/>
              </w:rPr>
              <w:t>%</w:t>
            </w:r>
          </w:p>
        </w:tc>
      </w:tr>
    </w:tbl>
    <w:p w:rsidR="00273494" w:rsidRDefault="00273494"/>
    <w:p w:rsidR="00273494" w:rsidRDefault="00CF28EC">
      <w:pPr>
        <w:rPr>
          <w:b/>
          <w:bCs/>
          <w:sz w:val="28"/>
          <w:szCs w:val="28"/>
        </w:rPr>
      </w:pPr>
      <w: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二、毕业生去向情况</w:t>
      </w:r>
    </w:p>
    <w:p w:rsidR="00273494" w:rsidRDefault="00CF28EC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>
            <wp:extent cx="5277485" cy="3789045"/>
            <wp:effectExtent l="5080" t="4445" r="13335" b="1651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73494" w:rsidRDefault="00273494">
      <w:pPr>
        <w:rPr>
          <w:b/>
          <w:bCs/>
          <w:sz w:val="28"/>
          <w:szCs w:val="28"/>
        </w:rPr>
      </w:pPr>
    </w:p>
    <w:p w:rsidR="00273494" w:rsidRDefault="00CF28E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三、</w:t>
      </w:r>
      <w:r>
        <w:rPr>
          <w:rFonts w:hint="eastAsia"/>
          <w:b/>
          <w:bCs/>
          <w:sz w:val="28"/>
          <w:szCs w:val="28"/>
        </w:rPr>
        <w:t>毕业生就业流向性质情况</w:t>
      </w:r>
    </w:p>
    <w:p w:rsidR="00273494" w:rsidRDefault="00CF28EC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>
            <wp:extent cx="5080000" cy="3810000"/>
            <wp:effectExtent l="4445" t="4445" r="20955" b="1460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73494" w:rsidRDefault="00CF28E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>
        <w:rPr>
          <w:rFonts w:hint="eastAsia"/>
          <w:b/>
          <w:bCs/>
          <w:sz w:val="28"/>
          <w:szCs w:val="28"/>
        </w:rPr>
        <w:t>毕业生就业流向地区情况</w:t>
      </w:r>
    </w:p>
    <w:p w:rsidR="00273494" w:rsidRDefault="00CF28EC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>
            <wp:extent cx="5080000" cy="3810000"/>
            <wp:effectExtent l="4445" t="4445" r="20955" b="1460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73494" w:rsidRDefault="00273494">
      <w:pPr>
        <w:rPr>
          <w:b/>
          <w:bCs/>
          <w:sz w:val="28"/>
          <w:szCs w:val="28"/>
        </w:rPr>
      </w:pPr>
    </w:p>
    <w:p w:rsidR="00273494" w:rsidRDefault="00CF28EC">
      <w:pPr>
        <w:rPr>
          <w:sz w:val="24"/>
        </w:rPr>
      </w:pPr>
      <w:r>
        <w:rPr>
          <w:rFonts w:hint="eastAsia"/>
          <w:b/>
          <w:bCs/>
          <w:sz w:val="28"/>
          <w:szCs w:val="28"/>
        </w:rPr>
        <w:t>五、毕业生分学院分专业就业情况</w:t>
      </w:r>
    </w:p>
    <w:p w:rsidR="00273494" w:rsidRDefault="00CF28EC">
      <w:pPr>
        <w:rPr>
          <w:sz w:val="24"/>
        </w:rPr>
      </w:pPr>
      <w:r>
        <w:rPr>
          <w:sz w:val="24"/>
        </w:rPr>
        <w:t xml:space="preserve">  </w:t>
      </w:r>
    </w:p>
    <w:p w:rsidR="00273494" w:rsidRDefault="00CF28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表</w:t>
      </w:r>
      <w:r>
        <w:rPr>
          <w:sz w:val="24"/>
        </w:rPr>
        <w:t>2</w:t>
      </w:r>
      <w:r>
        <w:rPr>
          <w:rFonts w:hint="eastAsia"/>
          <w:sz w:val="24"/>
        </w:rPr>
        <w:t>毕业生各分院就业情况</w:t>
      </w:r>
    </w:p>
    <w:tbl>
      <w:tblPr>
        <w:tblStyle w:val="GridTable5DarkAccent5"/>
        <w:tblW w:w="7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0"/>
        <w:gridCol w:w="1480"/>
        <w:gridCol w:w="1480"/>
        <w:gridCol w:w="1480"/>
        <w:gridCol w:w="1480"/>
      </w:tblGrid>
      <w:tr w:rsidR="00273494" w:rsidTr="00273494">
        <w:trPr>
          <w:cnfStyle w:val="100000000000"/>
          <w:trHeight w:val="280"/>
        </w:trPr>
        <w:tc>
          <w:tcPr>
            <w:cnfStyle w:val="001000000000"/>
            <w:tcW w:w="1480" w:type="dxa"/>
            <w:noWrap/>
          </w:tcPr>
          <w:p w:rsidR="00273494" w:rsidRDefault="00CF28EC">
            <w:pPr>
              <w:widowControl/>
              <w:jc w:val="center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1480" w:type="dxa"/>
            <w:noWrap/>
          </w:tcPr>
          <w:p w:rsidR="00273494" w:rsidRDefault="00CF28EC">
            <w:pPr>
              <w:widowControl/>
              <w:jc w:val="center"/>
              <w:cnfStyle w:val="100000000000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毕业生数</w:t>
            </w:r>
          </w:p>
        </w:tc>
        <w:tc>
          <w:tcPr>
            <w:tcW w:w="1480" w:type="dxa"/>
            <w:noWrap/>
          </w:tcPr>
          <w:p w:rsidR="00273494" w:rsidRDefault="00CF28EC">
            <w:pPr>
              <w:widowControl/>
              <w:jc w:val="center"/>
              <w:cnfStyle w:val="100000000000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专接本率</w:t>
            </w:r>
          </w:p>
        </w:tc>
        <w:tc>
          <w:tcPr>
            <w:tcW w:w="1480" w:type="dxa"/>
            <w:noWrap/>
          </w:tcPr>
          <w:p w:rsidR="00273494" w:rsidRDefault="00CF28EC">
            <w:pPr>
              <w:widowControl/>
              <w:jc w:val="center"/>
              <w:cnfStyle w:val="100000000000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就业率</w:t>
            </w:r>
          </w:p>
        </w:tc>
        <w:tc>
          <w:tcPr>
            <w:tcW w:w="1480" w:type="dxa"/>
            <w:noWrap/>
          </w:tcPr>
          <w:p w:rsidR="00273494" w:rsidRDefault="00CF28EC">
            <w:pPr>
              <w:widowControl/>
              <w:jc w:val="center"/>
              <w:cnfStyle w:val="100000000000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未就业率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480" w:type="dxa"/>
            <w:noWrap/>
          </w:tcPr>
          <w:p w:rsidR="00273494" w:rsidRDefault="00CF28EC">
            <w:pPr>
              <w:widowControl/>
              <w:jc w:val="center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医护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1480" w:type="dxa"/>
            <w:shd w:val="clear" w:color="auto" w:fill="B6DDE8" w:themeFill="accent5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1229</w:t>
            </w:r>
          </w:p>
        </w:tc>
        <w:tc>
          <w:tcPr>
            <w:tcW w:w="1480" w:type="dxa"/>
            <w:shd w:val="clear" w:color="auto" w:fill="B6DDE8" w:themeFill="accent5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0.40%</w:t>
            </w:r>
          </w:p>
        </w:tc>
        <w:tc>
          <w:tcPr>
            <w:tcW w:w="1480" w:type="dxa"/>
            <w:shd w:val="clear" w:color="auto" w:fill="B6DDE8" w:themeFill="accent5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49.79%</w:t>
            </w:r>
          </w:p>
        </w:tc>
        <w:tc>
          <w:tcPr>
            <w:tcW w:w="1480" w:type="dxa"/>
            <w:shd w:val="clear" w:color="auto" w:fill="B6DDE8" w:themeFill="accent5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50.21%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480" w:type="dxa"/>
            <w:noWrap/>
          </w:tcPr>
          <w:p w:rsidR="00273494" w:rsidRDefault="00CF28EC">
            <w:pPr>
              <w:widowControl/>
              <w:jc w:val="center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工程学院</w:t>
            </w:r>
          </w:p>
        </w:tc>
        <w:tc>
          <w:tcPr>
            <w:tcW w:w="148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48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2.40%</w:t>
            </w:r>
          </w:p>
        </w:tc>
        <w:tc>
          <w:tcPr>
            <w:tcW w:w="148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74.18%</w:t>
            </w:r>
          </w:p>
        </w:tc>
        <w:tc>
          <w:tcPr>
            <w:tcW w:w="148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25.82%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480" w:type="dxa"/>
            <w:noWrap/>
          </w:tcPr>
          <w:p w:rsidR="00273494" w:rsidRDefault="00CF28EC">
            <w:pPr>
              <w:widowControl/>
              <w:jc w:val="center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1480" w:type="dxa"/>
            <w:shd w:val="clear" w:color="auto" w:fill="B6DDE8" w:themeFill="accent5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480" w:type="dxa"/>
            <w:shd w:val="clear" w:color="auto" w:fill="B6DDE8" w:themeFill="accent5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1.74%</w:t>
            </w:r>
          </w:p>
        </w:tc>
        <w:tc>
          <w:tcPr>
            <w:tcW w:w="1480" w:type="dxa"/>
            <w:shd w:val="clear" w:color="auto" w:fill="B6DDE8" w:themeFill="accent5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64.93%</w:t>
            </w:r>
          </w:p>
        </w:tc>
        <w:tc>
          <w:tcPr>
            <w:tcW w:w="1480" w:type="dxa"/>
            <w:shd w:val="clear" w:color="auto" w:fill="B6DDE8" w:themeFill="accent5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35.07%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480" w:type="dxa"/>
            <w:noWrap/>
          </w:tcPr>
          <w:p w:rsidR="00273494" w:rsidRDefault="00CF28EC">
            <w:pPr>
              <w:widowControl/>
              <w:jc w:val="center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480" w:type="dxa"/>
            <w:noWrap/>
          </w:tcPr>
          <w:p w:rsidR="00273494" w:rsidRDefault="00273494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fldChar w:fldCharType="begin"/>
            </w:r>
            <w:r w:rsidR="00CF2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instrText xml:space="preserve"> = sum(B2:B4) \* MERGEFORMAT </w:instrTex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fldChar w:fldCharType="separate"/>
            </w:r>
            <w:r w:rsidR="00CF2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1999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8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1.05%</w:t>
            </w:r>
          </w:p>
        </w:tc>
        <w:tc>
          <w:tcPr>
            <w:tcW w:w="148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57.33%</w:t>
            </w:r>
          </w:p>
        </w:tc>
        <w:tc>
          <w:tcPr>
            <w:tcW w:w="148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42.67</w:t>
            </w:r>
          </w:p>
        </w:tc>
      </w:tr>
    </w:tbl>
    <w:p w:rsidR="00273494" w:rsidRDefault="00273494">
      <w:pPr>
        <w:rPr>
          <w:sz w:val="24"/>
        </w:rPr>
      </w:pPr>
    </w:p>
    <w:p w:rsidR="00273494" w:rsidRDefault="00273494">
      <w:pPr>
        <w:rPr>
          <w:sz w:val="24"/>
        </w:rPr>
      </w:pPr>
    </w:p>
    <w:p w:rsidR="00273494" w:rsidRDefault="00CF28EC">
      <w:pPr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sz w:val="24"/>
        </w:rPr>
        <w:t>3</w:t>
      </w:r>
      <w:r>
        <w:rPr>
          <w:rFonts w:hint="eastAsia"/>
          <w:sz w:val="24"/>
        </w:rPr>
        <w:t>毕业生各专业就业情况</w:t>
      </w:r>
    </w:p>
    <w:tbl>
      <w:tblPr>
        <w:tblStyle w:val="GridTable5DarkAccent3"/>
        <w:tblW w:w="8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0"/>
        <w:gridCol w:w="2506"/>
        <w:gridCol w:w="1155"/>
        <w:gridCol w:w="1190"/>
        <w:gridCol w:w="1241"/>
        <w:gridCol w:w="1241"/>
      </w:tblGrid>
      <w:tr w:rsidR="00273494" w:rsidTr="00273494">
        <w:trPr>
          <w:cnfStyle w:val="100000000000"/>
          <w:trHeight w:val="280"/>
        </w:trPr>
        <w:tc>
          <w:tcPr>
            <w:cnfStyle w:val="001000000000"/>
            <w:tcW w:w="1040" w:type="dxa"/>
            <w:noWrap/>
          </w:tcPr>
          <w:p w:rsidR="00273494" w:rsidRDefault="00CF28EC">
            <w:pPr>
              <w:widowControl/>
              <w:jc w:val="lef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2506" w:type="dxa"/>
            <w:noWrap/>
          </w:tcPr>
          <w:p w:rsidR="00273494" w:rsidRDefault="00CF28EC">
            <w:pPr>
              <w:widowControl/>
              <w:jc w:val="left"/>
              <w:cnfStyle w:val="100000000000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55" w:type="dxa"/>
            <w:noWrap/>
          </w:tcPr>
          <w:p w:rsidR="00273494" w:rsidRDefault="00CF28EC">
            <w:pPr>
              <w:widowControl/>
              <w:jc w:val="center"/>
              <w:cnfStyle w:val="100000000000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毕业生数</w:t>
            </w:r>
          </w:p>
        </w:tc>
        <w:tc>
          <w:tcPr>
            <w:tcW w:w="1190" w:type="dxa"/>
            <w:noWrap/>
          </w:tcPr>
          <w:p w:rsidR="00273494" w:rsidRDefault="00CF28EC">
            <w:pPr>
              <w:widowControl/>
              <w:jc w:val="center"/>
              <w:cnfStyle w:val="100000000000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专接本率</w:t>
            </w:r>
          </w:p>
        </w:tc>
        <w:tc>
          <w:tcPr>
            <w:tcW w:w="1241" w:type="dxa"/>
            <w:noWrap/>
          </w:tcPr>
          <w:p w:rsidR="00273494" w:rsidRDefault="00CF28EC">
            <w:pPr>
              <w:widowControl/>
              <w:jc w:val="center"/>
              <w:cnfStyle w:val="100000000000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就业率</w:t>
            </w:r>
          </w:p>
        </w:tc>
        <w:tc>
          <w:tcPr>
            <w:tcW w:w="1241" w:type="dxa"/>
            <w:noWrap/>
          </w:tcPr>
          <w:p w:rsidR="00273494" w:rsidRDefault="00CF28EC">
            <w:pPr>
              <w:widowControl/>
              <w:jc w:val="center"/>
              <w:cnfStyle w:val="100000000000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未就业率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 w:val="restart"/>
            <w:noWrap/>
            <w:vAlign w:val="center"/>
          </w:tcPr>
          <w:p w:rsidR="00273494" w:rsidRDefault="00CF28EC">
            <w:pPr>
              <w:widowControl/>
              <w:jc w:val="center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</w:t>
            </w:r>
          </w:p>
          <w:p w:rsidR="00273494" w:rsidRDefault="00CF28EC">
            <w:pPr>
              <w:widowControl/>
              <w:jc w:val="center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</w:t>
            </w:r>
          </w:p>
          <w:p w:rsidR="00273494" w:rsidRDefault="00CF28EC">
            <w:pPr>
              <w:widowControl/>
              <w:jc w:val="center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</w:t>
            </w:r>
          </w:p>
          <w:p w:rsidR="00273494" w:rsidRDefault="00CF28EC">
            <w:pPr>
              <w:widowControl/>
              <w:jc w:val="center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2506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城市轨道交通运营管理</w:t>
            </w:r>
          </w:p>
        </w:tc>
        <w:tc>
          <w:tcPr>
            <w:tcW w:w="1155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</w:t>
            </w:r>
          </w:p>
        </w:tc>
        <w:tc>
          <w:tcPr>
            <w:tcW w:w="1190" w:type="dxa"/>
            <w:shd w:val="clear" w:color="auto" w:fill="D6E3BC" w:themeFill="accent3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4.00%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84.65%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15.35%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动漫设计与制作</w:t>
            </w:r>
          </w:p>
        </w:tc>
        <w:tc>
          <w:tcPr>
            <w:tcW w:w="1155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190" w:type="dxa"/>
            <w:shd w:val="clear" w:color="auto" w:fill="D6E3BC" w:themeFill="accent3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工程造价</w:t>
            </w:r>
          </w:p>
        </w:tc>
        <w:tc>
          <w:tcPr>
            <w:tcW w:w="1155" w:type="dxa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19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37.50%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62.50%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机电一体化技术</w:t>
            </w:r>
          </w:p>
        </w:tc>
        <w:tc>
          <w:tcPr>
            <w:tcW w:w="1155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190" w:type="dxa"/>
            <w:shd w:val="clear" w:color="auto" w:fill="D6E3BC" w:themeFill="accent3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1.59%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68.25%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31.75%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计算机网络技术</w:t>
            </w:r>
          </w:p>
        </w:tc>
        <w:tc>
          <w:tcPr>
            <w:tcW w:w="1155" w:type="dxa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19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33.33%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66.67%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计算机应用技术</w:t>
            </w:r>
          </w:p>
        </w:tc>
        <w:tc>
          <w:tcPr>
            <w:tcW w:w="1155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190" w:type="dxa"/>
            <w:shd w:val="clear" w:color="auto" w:fill="D6E3BC" w:themeFill="accent3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60.87%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39.13%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建筑工程技术</w:t>
            </w:r>
          </w:p>
        </w:tc>
        <w:tc>
          <w:tcPr>
            <w:tcW w:w="1155" w:type="dxa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19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72.73%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27.27%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汽车检测与维修技术</w:t>
            </w:r>
          </w:p>
        </w:tc>
        <w:tc>
          <w:tcPr>
            <w:tcW w:w="1155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190" w:type="dxa"/>
            <w:shd w:val="clear" w:color="auto" w:fill="D6E3BC" w:themeFill="accent3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58.33%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41.67%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物联网应用技术</w:t>
            </w:r>
          </w:p>
        </w:tc>
        <w:tc>
          <w:tcPr>
            <w:tcW w:w="1155" w:type="dxa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19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27.78%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72.22%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移动通信技术</w:t>
            </w:r>
          </w:p>
        </w:tc>
        <w:tc>
          <w:tcPr>
            <w:tcW w:w="1155" w:type="dxa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9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 w:val="restart"/>
            <w:noWrap/>
            <w:vAlign w:val="center"/>
          </w:tcPr>
          <w:p w:rsidR="00273494" w:rsidRDefault="00CF28EC">
            <w:pPr>
              <w:widowControl/>
              <w:jc w:val="center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医护</w:t>
            </w:r>
          </w:p>
          <w:p w:rsidR="00273494" w:rsidRDefault="00CF28EC">
            <w:pPr>
              <w:widowControl/>
              <w:jc w:val="center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506" w:type="dxa"/>
            <w:shd w:val="clear" w:color="auto" w:fill="D6E3BC" w:themeFill="accent3" w:themeFillTint="66"/>
            <w:noWrap/>
          </w:tcPr>
          <w:p w:rsidR="00273494" w:rsidRDefault="00CF28EC">
            <w:pPr>
              <w:widowControl/>
              <w:jc w:val="left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1155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1071</w:t>
            </w:r>
          </w:p>
        </w:tc>
        <w:tc>
          <w:tcPr>
            <w:tcW w:w="1190" w:type="dxa"/>
            <w:shd w:val="clear" w:color="auto" w:fill="D6E3BC" w:themeFill="accent3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0.47%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45.10%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54.90%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noWrap/>
          </w:tcPr>
          <w:p w:rsidR="00273494" w:rsidRDefault="00CF28EC">
            <w:pPr>
              <w:widowControl/>
              <w:jc w:val="left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医学影像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技术</w:t>
            </w:r>
          </w:p>
        </w:tc>
        <w:tc>
          <w:tcPr>
            <w:tcW w:w="1155" w:type="dxa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119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81.65%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18.35%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 w:val="restart"/>
            <w:noWrap/>
            <w:vAlign w:val="center"/>
          </w:tcPr>
          <w:p w:rsidR="00273494" w:rsidRDefault="00CF28EC">
            <w:pPr>
              <w:widowControl/>
              <w:jc w:val="center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商</w:t>
            </w:r>
          </w:p>
          <w:p w:rsidR="00273494" w:rsidRDefault="00CF28EC">
            <w:pPr>
              <w:widowControl/>
              <w:jc w:val="center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</w:t>
            </w:r>
          </w:p>
          <w:p w:rsidR="00273494" w:rsidRDefault="00CF28EC">
            <w:pPr>
              <w:widowControl/>
              <w:jc w:val="center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2506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财务管理</w:t>
            </w:r>
          </w:p>
        </w:tc>
        <w:tc>
          <w:tcPr>
            <w:tcW w:w="1155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190" w:type="dxa"/>
            <w:shd w:val="clear" w:color="auto" w:fill="D6E3BC" w:themeFill="accent3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5.00%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80.00%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20.00%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电子商务</w:t>
            </w:r>
          </w:p>
        </w:tc>
        <w:tc>
          <w:tcPr>
            <w:tcW w:w="1155" w:type="dxa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19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46.67%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53.33%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高速铁路客运乘务</w:t>
            </w:r>
          </w:p>
        </w:tc>
        <w:tc>
          <w:tcPr>
            <w:tcW w:w="1155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1190" w:type="dxa"/>
            <w:shd w:val="clear" w:color="auto" w:fill="D6E3BC" w:themeFill="accent3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1.63%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92.68%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7.32%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航空服务</w:t>
            </w:r>
          </w:p>
        </w:tc>
        <w:tc>
          <w:tcPr>
            <w:tcW w:w="1155" w:type="dxa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9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会计</w:t>
            </w:r>
          </w:p>
        </w:tc>
        <w:tc>
          <w:tcPr>
            <w:tcW w:w="1155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190" w:type="dxa"/>
            <w:shd w:val="clear" w:color="auto" w:fill="D6E3BC" w:themeFill="accent3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2.54%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68.64%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31.36%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空中乘务</w:t>
            </w:r>
          </w:p>
        </w:tc>
        <w:tc>
          <w:tcPr>
            <w:tcW w:w="1155" w:type="dxa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19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45.00%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55.00%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连锁经营管理</w:t>
            </w:r>
          </w:p>
        </w:tc>
        <w:tc>
          <w:tcPr>
            <w:tcW w:w="1155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90" w:type="dxa"/>
            <w:shd w:val="clear" w:color="auto" w:fill="D6E3BC" w:themeFill="accent3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</w:tr>
      <w:tr w:rsidR="00273494" w:rsidTr="00273494">
        <w:trPr>
          <w:trHeight w:val="268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旅游管理</w:t>
            </w:r>
          </w:p>
        </w:tc>
        <w:tc>
          <w:tcPr>
            <w:tcW w:w="1155" w:type="dxa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19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16.67%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83.33%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16.67%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人力资源管理</w:t>
            </w:r>
          </w:p>
        </w:tc>
        <w:tc>
          <w:tcPr>
            <w:tcW w:w="1155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190" w:type="dxa"/>
            <w:shd w:val="clear" w:color="auto" w:fill="D6E3BC" w:themeFill="accent3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12.86%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87.14%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商务英语</w:t>
            </w:r>
          </w:p>
        </w:tc>
        <w:tc>
          <w:tcPr>
            <w:tcW w:w="1155" w:type="dxa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19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62.50%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37.50%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市场营销</w:t>
            </w:r>
          </w:p>
        </w:tc>
        <w:tc>
          <w:tcPr>
            <w:tcW w:w="1155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190" w:type="dxa"/>
            <w:shd w:val="clear" w:color="auto" w:fill="D6E3BC" w:themeFill="accent3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68.42%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31.58%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vMerge/>
            <w:noWrap/>
          </w:tcPr>
          <w:p w:rsidR="00273494" w:rsidRDefault="00273494">
            <w:pPr>
              <w:widowControl/>
              <w:jc w:val="right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left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影视编导</w:t>
            </w:r>
          </w:p>
        </w:tc>
        <w:tc>
          <w:tcPr>
            <w:tcW w:w="1155" w:type="dxa"/>
            <w:shd w:val="clear" w:color="auto" w:fill="D6E3BC" w:themeFill="accent3" w:themeFillTint="66"/>
            <w:noWrap/>
            <w:vAlign w:val="center"/>
          </w:tcPr>
          <w:p w:rsidR="00273494" w:rsidRDefault="00CF28EC">
            <w:pPr>
              <w:widowControl/>
              <w:jc w:val="center"/>
              <w:textAlignment w:val="center"/>
              <w:cnfStyle w:val="0000000000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90" w:type="dxa"/>
            <w:shd w:val="clear" w:color="auto" w:fill="D6E3BC" w:themeFill="accent3" w:themeFillTint="66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241" w:type="dxa"/>
            <w:shd w:val="clear" w:color="auto" w:fill="D6E3BC" w:themeFill="accent3" w:themeFillTint="66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31.58%</w:t>
            </w:r>
          </w:p>
        </w:tc>
      </w:tr>
      <w:tr w:rsidR="00273494" w:rsidTr="00273494">
        <w:trPr>
          <w:trHeight w:val="280"/>
        </w:trPr>
        <w:tc>
          <w:tcPr>
            <w:cnfStyle w:val="001000000000"/>
            <w:tcW w:w="1040" w:type="dxa"/>
            <w:noWrap/>
            <w:vAlign w:val="center"/>
          </w:tcPr>
          <w:p w:rsidR="00273494" w:rsidRDefault="00CF28EC">
            <w:pPr>
              <w:widowControl/>
              <w:jc w:val="center"/>
              <w:rPr>
                <w:rFonts w:ascii="等线" w:eastAsia="等线" w:hAnsi="等线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2506" w:type="dxa"/>
            <w:noWrap/>
          </w:tcPr>
          <w:p w:rsidR="00273494" w:rsidRDefault="00273494">
            <w:pPr>
              <w:widowControl/>
              <w:jc w:val="left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noWrap/>
          </w:tcPr>
          <w:p w:rsidR="00273494" w:rsidRDefault="00273494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fldChar w:fldCharType="begin"/>
            </w:r>
            <w:r w:rsidR="00CF2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instrText xml:space="preserve"> = sum(C2:C25) \* MERGEFORMAT </w:instrTex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fldChar w:fldCharType="separate"/>
            </w:r>
            <w:r w:rsidR="00CF28E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1999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190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1.05%</w:t>
            </w:r>
          </w:p>
        </w:tc>
        <w:tc>
          <w:tcPr>
            <w:tcW w:w="1241" w:type="dxa"/>
            <w:noWrap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57.33%</w:t>
            </w:r>
          </w:p>
        </w:tc>
        <w:tc>
          <w:tcPr>
            <w:tcW w:w="1241" w:type="dxa"/>
            <w:noWrap/>
            <w:vAlign w:val="bottom"/>
          </w:tcPr>
          <w:p w:rsidR="00273494" w:rsidRDefault="00CF28EC">
            <w:pPr>
              <w:widowControl/>
              <w:jc w:val="center"/>
              <w:cnfStyle w:val="00000000000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42.67%</w:t>
            </w:r>
          </w:p>
        </w:tc>
      </w:tr>
    </w:tbl>
    <w:p w:rsidR="00273494" w:rsidRDefault="00273494">
      <w:pPr>
        <w:rPr>
          <w:sz w:val="24"/>
        </w:rPr>
      </w:pPr>
    </w:p>
    <w:p w:rsidR="00273494" w:rsidRDefault="00273494">
      <w:pPr>
        <w:rPr>
          <w:sz w:val="24"/>
        </w:rPr>
      </w:pPr>
    </w:p>
    <w:p w:rsidR="00273494" w:rsidRDefault="00273494">
      <w:pPr>
        <w:rPr>
          <w:sz w:val="24"/>
        </w:rPr>
      </w:pPr>
    </w:p>
    <w:p w:rsidR="00273494" w:rsidRDefault="00273494">
      <w:pPr>
        <w:rPr>
          <w:sz w:val="24"/>
        </w:rPr>
      </w:pPr>
    </w:p>
    <w:p w:rsidR="00273494" w:rsidRDefault="00273494">
      <w:pPr>
        <w:rPr>
          <w:sz w:val="24"/>
        </w:rPr>
      </w:pPr>
    </w:p>
    <w:p w:rsidR="00273494" w:rsidRDefault="00CF28EC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第三部分</w:t>
      </w:r>
      <w:r>
        <w:rPr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人才培养</w:t>
      </w:r>
      <w:r>
        <w:rPr>
          <w:rFonts w:hint="eastAsia"/>
          <w:b/>
          <w:bCs/>
          <w:sz w:val="30"/>
          <w:szCs w:val="30"/>
        </w:rPr>
        <w:t>工作特点</w:t>
      </w:r>
    </w:p>
    <w:p w:rsidR="00273494" w:rsidRDefault="00273494">
      <w:pPr>
        <w:rPr>
          <w:rFonts w:ascii="宋体" w:cs="宋体"/>
          <w:b/>
          <w:bCs/>
          <w:sz w:val="28"/>
          <w:szCs w:val="28"/>
        </w:rPr>
      </w:pPr>
    </w:p>
    <w:p w:rsidR="00273494" w:rsidRDefault="00CF28EC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人才培养过程不断优化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1.</w:t>
      </w: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教学资源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学校建有功能齐全的校园网络，师生可以利用网络获取优质教学资源。学校加大教学资源建设力度，先后建设了精品课程资源库、教师教育资源库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等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．课程实施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  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校坚持以能力为本位，以应用为主旨，构建工学结合的课程体系。依据《专业教育课程标准》，实施了教师教育课程改革，修订了人才培养方案，对原有的教师教育课程体系进行整合、调整，建立起公共课、学科方向专业课、教师教育专业课、专业拓展课和教育实践五大模块构成的教师教育课程体系。以“必需、够用”为准则精选教学内容，使实践课程的比重达到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50%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以上，教育见实习与顶岗实习总时间达到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学期。非教师教育专业课程结构为公共基础课、专业基础课、专业课、专业选修课程、综合实践等五类课程。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.</w:t>
      </w: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实践教学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学校对接职业岗位需求，与用人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单位密切协作，完善人才培养方案和课程教学大纲，强化实践教学环节，构建了“双轮驱动、三系保障、五位一体”的全程实践教学课程体系。认真研制各专业的实践教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学大纲，实践教学学时占总学时比例达到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50%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以上，校外见实习、顶岗实习时间累积超过半年。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学校重视实训教学，积极探索“产学结合、工学一体”教学模式，取得良好教学效果。例如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医护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专业技能实训，学校主动聘请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相关专家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授课，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模拟操作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给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学生的实习实训提供了优越环境。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电子商务、财务管理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两专业，在新建商务模拟实训室的基础上，主动联系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北京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天乐贸易有限公司外贸人员来校给学生进行跨境电商培训，对接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北京、石家庄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、浙江等地外贸企业，建立长期稳定的顶岗实习基地。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学生服务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学校通过奖、贷、助、补、免、勤等多项举措奖助学生，激励学生学习成才。</w:t>
      </w:r>
      <w:r w:rsidR="00B64E29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2019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年，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发放各类奖助学金</w:t>
      </w:r>
      <w:r w:rsidR="00B64E29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404.885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万元，提供的勤工俭学岗位包括公共教室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28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个、图书馆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余个、学校食堂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余个，同时为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余名特困生办理了学费减免。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   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校重视大学生心理健康教育，健全学生人格。制定了《学校心理健康教育暂行办法》，建立心理健康教育三级三线网络体系，即心理咨询室—心理咨询师—大学生，各系—辅导员—心理委员，学生会—心理安全部—心雨协会。校心理咨询室，制定心理辅导计划，多名心理咨询师轮流值班，进行心理咨询与辅导，开展心理健康教育讲座。学校开设心理健康教育课，指导大学生的心理自我调控。在每个班级设立心理委员，及时了解异常学生动态，发现问题及时报告。全面开展新生心里普测，广泛开展大学生心理拓展训练、专题心理讲座、团队心理辅导等活动，培养大学生积极乐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观的人生态度和健全人格。</w:t>
      </w:r>
    </w:p>
    <w:p w:rsidR="00273494" w:rsidRDefault="00273494">
      <w:pPr>
        <w:ind w:left="562"/>
        <w:rPr>
          <w:rFonts w:ascii="宋体" w:hAnsi="宋体" w:cs="宋体"/>
          <w:b/>
          <w:bCs/>
          <w:sz w:val="28"/>
          <w:szCs w:val="28"/>
        </w:rPr>
      </w:pPr>
    </w:p>
    <w:p w:rsidR="00273494" w:rsidRDefault="00CF28EC">
      <w:pPr>
        <w:ind w:leftChars="200" w:left="420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二、</w:t>
      </w:r>
      <w:r>
        <w:rPr>
          <w:rFonts w:ascii="宋体" w:hAnsi="宋体" w:cs="宋体" w:hint="eastAsia"/>
          <w:b/>
          <w:bCs/>
          <w:sz w:val="28"/>
          <w:szCs w:val="28"/>
        </w:rPr>
        <w:t>人才培养质量持续改进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．毕业生升学就业情况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  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我校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201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9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届毕业生初次就业总体情况良好，就业范围广，主要就业在省内的学校、基层行政、省内国有企业和非公有制企业。与此同时，毕业生就业向其他各省市延展，学校招就办人员在了解毕业生择业的意向后，不辞辛劳，奔赴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北京、天津、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长三角、珠三角等地的七个市进行联系，来校参加双选会的单位有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45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家，就业岗位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7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00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多个，举办就业培训会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场，就业宣讲会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场，各类招聘会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7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场，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201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9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年，毕业生“双证”持有率达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40.7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%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并且为了增加我校毕业生的信心，校招就处向毕业生承诺不满意可以再次推荐。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．社会服务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学校坚持“以服务求支持，以贡献谋发展”方针，在人才培养、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教育教学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、社会服务、文化传承与创新四个方面卓有成绩，为地方经济社会文化发展做出了应有贡献。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201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7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以来，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学校坚持“以服务求支持，以贡献谋发展”方针，在人才培养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、教育教学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、社会服务、文化传承与创新四个方面卓有成绩，为地方经济社会文化发展做出了应有贡献。</w:t>
      </w:r>
    </w:p>
    <w:p w:rsidR="00273494" w:rsidRDefault="00273494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</w:p>
    <w:p w:rsidR="00273494" w:rsidRDefault="00273494">
      <w:pPr>
        <w:ind w:leftChars="200" w:left="420"/>
        <w:rPr>
          <w:rFonts w:ascii="宋体" w:hAnsi="宋体" w:cs="宋体"/>
          <w:b/>
          <w:bCs/>
          <w:sz w:val="28"/>
          <w:szCs w:val="28"/>
        </w:rPr>
      </w:pPr>
    </w:p>
    <w:p w:rsidR="00273494" w:rsidRDefault="00273494">
      <w:pPr>
        <w:ind w:leftChars="200" w:left="420"/>
        <w:rPr>
          <w:rFonts w:ascii="宋体" w:hAnsi="宋体" w:cs="宋体"/>
          <w:b/>
          <w:bCs/>
          <w:sz w:val="28"/>
          <w:szCs w:val="28"/>
        </w:rPr>
      </w:pPr>
    </w:p>
    <w:p w:rsidR="00273494" w:rsidRDefault="00273494">
      <w:pPr>
        <w:ind w:leftChars="200" w:left="420"/>
        <w:rPr>
          <w:rFonts w:ascii="宋体" w:hAnsi="宋体" w:cs="宋体"/>
          <w:b/>
          <w:bCs/>
          <w:sz w:val="28"/>
          <w:szCs w:val="28"/>
        </w:rPr>
      </w:pPr>
    </w:p>
    <w:p w:rsidR="00273494" w:rsidRDefault="00CF28EC">
      <w:pPr>
        <w:ind w:leftChars="200" w:left="420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lastRenderedPageBreak/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三、</w:t>
      </w:r>
      <w:r>
        <w:rPr>
          <w:rFonts w:ascii="宋体" w:hAnsi="宋体" w:cs="宋体" w:hint="eastAsia"/>
          <w:b/>
          <w:bCs/>
          <w:sz w:val="28"/>
          <w:szCs w:val="28"/>
        </w:rPr>
        <w:t>人才培养的创新尝试与主要举措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．完善大学内部治理结构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学校先后成立了教学工作委员会、教学督导室，完善了校内部治理结构，为提高教育教学质量提供了组织保障。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在省教育厅的重视和关怀下，配备和健全了我校党政领导班子，规范了学校管理职能，真正实行了党委负责、校长治校、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专家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治学的学校管理新常态。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自学院更名以来，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为促进学校转型发展，学校决定调整系部设置和专业归属，对系部的名称进行变更，以专业大类的名称命名系部名称。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将原有的系部和专业进行重新划分，成立了工程学院、国际商学院、旅游航空学院、医护学院等八个二级学院，促进了教育教学的改革。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校党委高度重视学校意识形态工作，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201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7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月出台了《党委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(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党组）意识形态工作责任制实施办法》，程序明晰，目标具体，责任明确，确保了党组织在我校的战斗堡垒作用，确保了党在高校意识形态领域的指导地位。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2.</w:t>
      </w: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积极开展大学生思想政治教育工作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校党委将大学生思想政治教育工作作为重要议题，出台了《关于加强和改进发展学生党员工作的若干意见》、《关于进一步加强和改进大学生思想政治教育的实施意见》，成立思政教研室，研究思想政治教育的形势与任务，持续实施“青年马克思主义者”培养工程，积极发展学生党员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除此，各系开展了“雷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锋月”、“爱国卫生月”、“心理健康月”、“诚信与微笑月”、“消防宣传月”、“红色十月”、“感恩”等主题活动，通过这些形式多样、内容丰富的思想教育活动，引导学生快乐学习、健康成长。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3.</w:t>
      </w: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不断推进实践育人体系建设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积极深化与校企的合作，初步形成了方案共订、课标共研、过程共管、学业共评、教师互派、成果共享的合作机制。采用创新“理实一体化”等人才培养模式，注重掌握基础性、实用性和时代性相统一的专业基础知识，追求职业的事实导向与价值导向的统一，着力培养职业道德修养、职业技能提高、针对性地灵活采用多种教学手段和方法，以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任务驱动带动自主学习与合作研究性学习，有计划地渗透“一专多能”教育。学校注重提高现有教学仪器设备的使用效率和实验实训课开出率，提高实验实训课教学效果；重点建设相对稳定的校外实习、实训基地，充分开展实践教学。目前已初步建立起融学生基本实践能力、专业技术应用能力和综合实践能力培养相结合的实践教学体系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校强化学生实践教学，优化实践课程设计、增加实践教学比重，通过大学生假期社会实践活动、校内实践和形式多样的学生专业见习、实习，提升实践育人效果。对实习生实行“双导师”制，即每个实习生都由一名本校教师和一名实习点教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师负责指导，使实习具有针对性、系统性、实效性，实习生的出色表现赢得了实习学校的高度评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价。另外实行自主实习返校测评制度，有效保证了自主实习学生的实习效果。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 4.</w:t>
      </w: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精心策划专业技能竞赛活动。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  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为丰富校园文化生活，营造浓厚的校园文化氛围，提高我校学生专业技能素质，选拔专业技能过硬的优秀人才，给学生提供展示自我、不断进步的舞台。另外还开展颇具校园特色的品牌大型活动，如主持人风采大赛、校园十佳歌手大赛、青春美大赛、校园文化艺术节等。学生通过专业技能大赛及各项活动丰富了课余生活、展现了自己的才艺、提高了综合素质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 xml:space="preserve">5. </w:t>
      </w: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高度重视复合型师资队伍建设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学校在政策上激励教师参与专业关联度高的企业锻炼，积极转变师资建设策略，打造复合型教师队伍。具体表现为以下四点：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第一，通过考核和评比选拔出教学效果突出、素质优良且具备一定组织和管理能力的教师担任专业带头人，带动整个专业的师资队伍发展。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第二，学校有组织地安排校本培训和教学研讨会。聘请校内外有经验的优秀教师进行集中培训。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第三，学校鼓励教师接受继续教育培训，考取各类职业证书，进行学历深造等。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201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7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-201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9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年学校安排专项资金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万元，用于“双师型”教师队伍培训，共有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16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人参加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培训，校级双师资格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41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人，占专任教师总数的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21%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273494" w:rsidRDefault="00273494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</w:p>
    <w:p w:rsidR="00273494" w:rsidRDefault="00CF28EC">
      <w:pPr>
        <w:pStyle w:val="a5"/>
        <w:widowControl/>
        <w:spacing w:before="0" w:beforeAutospacing="0" w:after="0" w:afterAutospacing="0" w:line="3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lastRenderedPageBreak/>
        <w:t>6</w:t>
      </w: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．积极探索学生学业评价与考试制度改革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随着新人才培养方案的制定实施，学校各专业根据课程的定位和性质确定课程考核方式，严抓考纪考风建设，不断尝试“综合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+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技能”的考试改革，重点突出对学生技能和职业核心能力的考核。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从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201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起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，各系不断落实“理论考试综合化、技能考试常态化”的理念，在实践类课程考试中推进以实践能力为导向的考试改革，号召全体学生端正考试态度，杜绝考试作弊，营造公平公正的竞争环境。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7</w:t>
      </w:r>
      <w:r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．重视职业生涯规划指导与学生就业创业能力培养</w:t>
      </w:r>
    </w:p>
    <w:p w:rsidR="00273494" w:rsidRDefault="00CF28EC">
      <w:pPr>
        <w:pStyle w:val="a5"/>
        <w:widowControl/>
        <w:spacing w:before="0" w:beforeAutospacing="0" w:after="0" w:afterAutospacing="0" w:line="30" w:lineRule="atLeas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校将《大学生职业生涯规划与就业指导》课程纳入专业教学计划，对毕业生进行职业生涯规划和择业观念教育，引导毕业生树立竞争意识和立志创业、服务基层的观念。通过举办模拟人才洽谈会来增强学生的市场意识和就业信心。</w:t>
      </w:r>
    </w:p>
    <w:p w:rsidR="00273494" w:rsidRDefault="00273494">
      <w:pPr>
        <w:ind w:leftChars="200" w:left="420"/>
        <w:rPr>
          <w:rFonts w:ascii="宋体" w:hAnsi="宋体" w:cs="宋体"/>
          <w:b/>
          <w:bCs/>
          <w:sz w:val="28"/>
          <w:szCs w:val="28"/>
        </w:rPr>
      </w:pPr>
    </w:p>
    <w:p w:rsidR="00273494" w:rsidRDefault="00CF28EC">
      <w:pPr>
        <w:ind w:firstLineChars="200" w:firstLine="562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:rsidR="00273494" w:rsidRDefault="00273494">
      <w:pPr>
        <w:ind w:firstLineChars="200" w:firstLine="560"/>
        <w:rPr>
          <w:rFonts w:ascii="宋体" w:cs="宋体"/>
          <w:sz w:val="28"/>
          <w:szCs w:val="28"/>
        </w:rPr>
      </w:pP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CF28EC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第四部分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就业质量分析</w:t>
      </w:r>
    </w:p>
    <w:p w:rsidR="00273494" w:rsidRDefault="00CF28EC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一、用人单位满意度分析</w:t>
      </w:r>
    </w:p>
    <w:p w:rsidR="00273494" w:rsidRDefault="00CF28EC"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用人单位对毕业生的总体满意度</w:t>
      </w:r>
    </w:p>
    <w:p w:rsidR="00273494" w:rsidRDefault="00CF28EC">
      <w:pPr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5236845" cy="2612390"/>
            <wp:effectExtent l="4445" t="4445" r="16510" b="12065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73494" w:rsidRDefault="00CF28EC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数据显示，用人单位普遍认可我学院学生，在职业能力、职业素质、专业素养等方面给予了较高的评价。</w:t>
      </w:r>
    </w:p>
    <w:p w:rsidR="00273494" w:rsidRDefault="00273494">
      <w:pPr>
        <w:jc w:val="left"/>
        <w:rPr>
          <w:sz w:val="24"/>
        </w:rPr>
      </w:pPr>
    </w:p>
    <w:p w:rsidR="00273494" w:rsidRDefault="00CF28EC">
      <w:pPr>
        <w:pStyle w:val="a7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用人单位对校企合作的评价</w:t>
      </w:r>
    </w:p>
    <w:p w:rsidR="00273494" w:rsidRDefault="00CF28EC">
      <w:pPr>
        <w:pStyle w:val="a7"/>
        <w:ind w:left="420" w:firstLineChars="0" w:firstLine="0"/>
        <w:jc w:val="left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5224780" cy="3081655"/>
            <wp:effectExtent l="4445" t="4445" r="9525" b="19050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73494" w:rsidRDefault="00CF28EC">
      <w:pPr>
        <w:jc w:val="left"/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数据显示，用人单位对我学院联合培养给予了较高评价。</w:t>
      </w:r>
    </w:p>
    <w:p w:rsidR="00273494" w:rsidRDefault="00273494">
      <w:pPr>
        <w:jc w:val="left"/>
        <w:rPr>
          <w:b/>
          <w:bCs/>
          <w:sz w:val="28"/>
          <w:szCs w:val="28"/>
        </w:rPr>
      </w:pPr>
    </w:p>
    <w:p w:rsidR="00273494" w:rsidRDefault="00CF28EC">
      <w:pPr>
        <w:numPr>
          <w:ilvl w:val="0"/>
          <w:numId w:val="3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毕业生就业状况分析</w:t>
      </w:r>
    </w:p>
    <w:p w:rsidR="00273494" w:rsidRDefault="00CF28EC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毕业生专业与岗位匹配调查</w:t>
      </w:r>
    </w:p>
    <w:p w:rsidR="00273494" w:rsidRDefault="00CF28EC">
      <w:pPr>
        <w:jc w:val="left"/>
      </w:pPr>
      <w:r>
        <w:rPr>
          <w:rFonts w:hint="eastAsia"/>
          <w:noProof/>
        </w:rPr>
        <w:drawing>
          <wp:inline distT="0" distB="0" distL="114300" distR="114300">
            <wp:extent cx="5080000" cy="3304540"/>
            <wp:effectExtent l="4445" t="4445" r="20955" b="571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73494" w:rsidRDefault="00273494">
      <w:pPr>
        <w:jc w:val="left"/>
      </w:pPr>
    </w:p>
    <w:p w:rsidR="00273494" w:rsidRDefault="00273494">
      <w:pPr>
        <w:jc w:val="left"/>
      </w:pPr>
    </w:p>
    <w:p w:rsidR="00273494" w:rsidRDefault="00CF28EC">
      <w:pPr>
        <w:numPr>
          <w:ilvl w:val="0"/>
          <w:numId w:val="4"/>
        </w:numPr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毕业生在求职过程中满意度调查</w:t>
      </w:r>
    </w:p>
    <w:p w:rsidR="00273494" w:rsidRDefault="00CF28EC">
      <w:pPr>
        <w:jc w:val="left"/>
      </w:pPr>
      <w:r>
        <w:rPr>
          <w:rFonts w:hint="eastAsia"/>
          <w:noProof/>
        </w:rPr>
        <w:drawing>
          <wp:inline distT="0" distB="0" distL="114300" distR="114300">
            <wp:extent cx="5080000" cy="3541395"/>
            <wp:effectExtent l="4445" t="4445" r="20955" b="1651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73494" w:rsidRDefault="00CF28EC">
      <w:pPr>
        <w:jc w:val="left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080000" cy="3810000"/>
            <wp:effectExtent l="4445" t="4445" r="20955" b="14605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73494" w:rsidRDefault="00273494">
      <w:pPr>
        <w:jc w:val="left"/>
      </w:pPr>
    </w:p>
    <w:p w:rsidR="00273494" w:rsidRDefault="00273494">
      <w:pPr>
        <w:jc w:val="left"/>
      </w:pPr>
    </w:p>
    <w:p w:rsidR="00273494" w:rsidRDefault="00CF28EC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数据显示，</w:t>
      </w:r>
      <w:r>
        <w:rPr>
          <w:rFonts w:ascii="宋体" w:hAnsi="宋体" w:cs="宋体" w:hint="eastAsia"/>
          <w:sz w:val="28"/>
          <w:szCs w:val="28"/>
        </w:rPr>
        <w:t>78</w:t>
      </w:r>
      <w:r>
        <w:rPr>
          <w:rFonts w:ascii="宋体" w:hAnsi="宋体" w:cs="宋体"/>
          <w:sz w:val="28"/>
          <w:szCs w:val="28"/>
        </w:rPr>
        <w:t>%</w:t>
      </w:r>
      <w:r>
        <w:rPr>
          <w:rFonts w:ascii="宋体" w:hAnsi="宋体" w:cs="宋体" w:hint="eastAsia"/>
          <w:sz w:val="28"/>
          <w:szCs w:val="28"/>
        </w:rPr>
        <w:t>的毕业生对签订的工作比较满意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41</w:t>
      </w:r>
      <w:r>
        <w:rPr>
          <w:rFonts w:ascii="宋体" w:hAnsi="宋体" w:cs="宋体"/>
          <w:sz w:val="28"/>
          <w:szCs w:val="28"/>
        </w:rPr>
        <w:t>%</w:t>
      </w:r>
      <w:r>
        <w:rPr>
          <w:rFonts w:ascii="宋体" w:hAnsi="宋体" w:cs="宋体" w:hint="eastAsia"/>
          <w:sz w:val="28"/>
          <w:szCs w:val="28"/>
        </w:rPr>
        <w:t>的毕业生转正后工资收入超过</w:t>
      </w:r>
      <w:r>
        <w:rPr>
          <w:rFonts w:ascii="宋体" w:hAnsi="宋体" w:cs="宋体"/>
          <w:sz w:val="28"/>
          <w:szCs w:val="28"/>
        </w:rPr>
        <w:t>3000</w:t>
      </w:r>
      <w:r>
        <w:rPr>
          <w:rFonts w:ascii="宋体" w:hAnsi="宋体" w:cs="宋体" w:hint="eastAsia"/>
          <w:sz w:val="28"/>
          <w:szCs w:val="28"/>
        </w:rPr>
        <w:t>元。</w:t>
      </w:r>
    </w:p>
    <w:p w:rsidR="00273494" w:rsidRDefault="0027349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273494" w:rsidRDefault="0027349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273494" w:rsidRDefault="0027349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273494" w:rsidRDefault="0027349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273494" w:rsidRDefault="0027349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273494" w:rsidRDefault="0027349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273494" w:rsidRDefault="0027349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273494" w:rsidRDefault="0027349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273494" w:rsidRDefault="0027349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273494" w:rsidRDefault="00273494">
      <w:pPr>
        <w:jc w:val="center"/>
        <w:rPr>
          <w:b/>
          <w:bCs/>
          <w:sz w:val="30"/>
          <w:szCs w:val="30"/>
        </w:rPr>
      </w:pPr>
    </w:p>
    <w:p w:rsidR="00273494" w:rsidRDefault="00CF28EC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第五部分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对招生、教育教学的反馈</w:t>
      </w:r>
    </w:p>
    <w:p w:rsidR="00273494" w:rsidRDefault="00273494">
      <w:pPr>
        <w:ind w:firstLineChars="200" w:firstLine="562"/>
        <w:rPr>
          <w:b/>
          <w:bCs/>
          <w:sz w:val="28"/>
          <w:szCs w:val="28"/>
        </w:rPr>
      </w:pPr>
    </w:p>
    <w:p w:rsidR="00273494" w:rsidRDefault="00CF28EC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一、结合就业形势，合理制定招生计划</w:t>
      </w:r>
    </w:p>
    <w:p w:rsidR="00273494" w:rsidRDefault="00CF28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在招生计划的调整与编制过程中，学校充分考虑到各专业的就业情况并依此作为重要依据。具体从以下三点进行参考：</w:t>
      </w:r>
    </w:p>
    <w:p w:rsidR="00273494" w:rsidRDefault="00CF28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一是根据人才市场需求，办学条件，专业发展等因素制定学校招生专业计划；</w:t>
      </w:r>
    </w:p>
    <w:p w:rsidR="00273494" w:rsidRDefault="00CF28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是依据教务处提出的专业设置需求，综合考虑各专业对口就业市场的地域分布，各省高考报名人数等因素，在参考往年分省招生计划的基础上，按照“优化专业分配，结构相对稳定”的方法，编制招生来源计划；</w:t>
      </w:r>
    </w:p>
    <w:p w:rsidR="00273494" w:rsidRDefault="00CF28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是根据专业就业情况，对招生专业进行了适当调整，如学校对小语种等就业率较低的专业压缩招生数量，新开设了护理、医学影像技术、城市轨道交通等新专业，使得我校在人才培养上基本形成“入口旺、出口畅，培养质量有保障”的良好态势。</w:t>
      </w:r>
    </w:p>
    <w:p w:rsidR="00273494" w:rsidRDefault="00CF28EC">
      <w:pPr>
        <w:numPr>
          <w:ilvl w:val="0"/>
          <w:numId w:val="5"/>
        </w:num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结合就业实际，改革人才培养模式</w:t>
      </w:r>
      <w:r>
        <w:rPr>
          <w:sz w:val="28"/>
          <w:szCs w:val="28"/>
        </w:rPr>
        <w:t xml:space="preserve"> </w:t>
      </w:r>
    </w:p>
    <w:p w:rsidR="00273494" w:rsidRDefault="00CF28EC">
      <w:pPr>
        <w:spacing w:line="360" w:lineRule="auto"/>
        <w:ind w:firstLineChars="100" w:firstLine="280"/>
        <w:rPr>
          <w:rFonts w:ascii="宋体" w:cs="Times New Roman"/>
          <w:sz w:val="28"/>
          <w:szCs w:val="28"/>
        </w:rPr>
      </w:pPr>
      <w:r>
        <w:rPr>
          <w:rFonts w:ascii="宋体" w:hAnsi="宋体" w:cs="楷体_GB2312" w:hint="eastAsia"/>
          <w:sz w:val="28"/>
          <w:szCs w:val="28"/>
        </w:rPr>
        <w:t>（一）加强与用人单位的沟通，做好市场人才预测研究</w:t>
      </w:r>
      <w:r>
        <w:rPr>
          <w:rFonts w:ascii="宋体" w:hAnsi="宋体" w:cs="Times New Roman"/>
          <w:sz w:val="28"/>
          <w:szCs w:val="28"/>
        </w:rPr>
        <w:t xml:space="preserve">  </w:t>
      </w:r>
    </w:p>
    <w:p w:rsidR="00273494" w:rsidRDefault="00CF28EC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专业设置、教学</w:t>
      </w:r>
      <w:r>
        <w:rPr>
          <w:rFonts w:ascii="宋体" w:hAnsi="宋体" w:cs="Times New Roman" w:hint="eastAsia"/>
          <w:sz w:val="28"/>
          <w:szCs w:val="28"/>
        </w:rPr>
        <w:t>计划的制定、教学课程和内容的确立、校企合作实习基地的建设等，不仅要考虑学科知识体系，更要着眼于大学生成长和用人单位的需求。因此，要进一步加强与用人单位的沟通，做好市场人才预测研究，确保学校人才培养和社会人才需要相吻合。</w:t>
      </w:r>
    </w:p>
    <w:p w:rsidR="00273494" w:rsidRDefault="00CF28EC">
      <w:pPr>
        <w:spacing w:line="360" w:lineRule="auto"/>
        <w:rPr>
          <w:rFonts w:ascii="宋体" w:cs="楷体_GB2312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lastRenderedPageBreak/>
        <w:t xml:space="preserve">   </w:t>
      </w:r>
      <w:r>
        <w:rPr>
          <w:rFonts w:ascii="宋体" w:hAnsi="宋体" w:cs="楷体_GB2312" w:hint="eastAsia"/>
          <w:sz w:val="28"/>
          <w:szCs w:val="28"/>
        </w:rPr>
        <w:t>（二）加强实践教学，以能力为核心，着力提升学生适应社会的能力</w:t>
      </w:r>
    </w:p>
    <w:p w:rsidR="00273494" w:rsidRDefault="00CF28EC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我校各专业在人才培养过程中，要科学、合理地设计实践教学，注重教学效果，当前要特别重视学生未来职业成长中所需要的各种能力的培养，如外语能力、计算机应用能力、创新创造能力、团队协作能力、学习能力等，提高毕业生的就业竞争力。</w:t>
      </w:r>
    </w:p>
    <w:p w:rsidR="00273494" w:rsidRDefault="00CF28EC">
      <w:pPr>
        <w:spacing w:line="360" w:lineRule="auto"/>
        <w:rPr>
          <w:rFonts w:ascii="宋体" w:cs="楷体_GB2312"/>
          <w:sz w:val="28"/>
          <w:szCs w:val="28"/>
        </w:rPr>
      </w:pPr>
      <w:r>
        <w:rPr>
          <w:rFonts w:ascii="宋体" w:hAnsi="宋体" w:cs="楷体_GB2312"/>
          <w:sz w:val="28"/>
          <w:szCs w:val="28"/>
        </w:rPr>
        <w:t xml:space="preserve">   </w:t>
      </w:r>
      <w:r>
        <w:rPr>
          <w:rFonts w:ascii="宋体" w:hAnsi="宋体" w:cs="楷体_GB2312" w:hint="eastAsia"/>
          <w:sz w:val="28"/>
          <w:szCs w:val="28"/>
        </w:rPr>
        <w:t>（三）加强就业指导，帮助广大学生树立科学的就业观</w:t>
      </w:r>
    </w:p>
    <w:p w:rsidR="00273494" w:rsidRDefault="00CF28EC">
      <w:pPr>
        <w:spacing w:line="360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 xml:space="preserve">    </w:t>
      </w:r>
      <w:r>
        <w:rPr>
          <w:rFonts w:ascii="宋体" w:hAnsi="宋体" w:cs="Times New Roman" w:hint="eastAsia"/>
          <w:sz w:val="28"/>
          <w:szCs w:val="28"/>
        </w:rPr>
        <w:t>要在学生中及早地开展职业生涯教育，让学生充分了解自己和职业世界，培养学生职业生涯设计的能力；在毕业生中，要加强求职常识和技能的教育，为广大毕业生向社会职业人转变和发展奠定良好的基础。要大力培养学生的专业意识，要敢于创新开拓，敢于打破常规，鼓励学生联合就业、自谋职业、自主创业等。</w:t>
      </w:r>
      <w:r>
        <w:rPr>
          <w:rFonts w:ascii="宋体" w:hAnsi="宋体" w:cs="Times New Roman"/>
          <w:sz w:val="28"/>
          <w:szCs w:val="28"/>
        </w:rPr>
        <w:t xml:space="preserve">   </w:t>
      </w:r>
    </w:p>
    <w:p w:rsidR="00273494" w:rsidRDefault="00CF28EC">
      <w:pPr>
        <w:spacing w:line="360" w:lineRule="auto"/>
        <w:rPr>
          <w:rFonts w:ascii="宋体" w:cs="楷体_GB2312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 xml:space="preserve">  </w:t>
      </w:r>
      <w:r>
        <w:rPr>
          <w:rFonts w:ascii="宋体" w:hAnsi="宋体" w:cs="楷体_GB2312"/>
          <w:sz w:val="28"/>
          <w:szCs w:val="28"/>
        </w:rPr>
        <w:t xml:space="preserve"> </w:t>
      </w:r>
      <w:r>
        <w:rPr>
          <w:rFonts w:ascii="宋体" w:hAnsi="宋体" w:cs="楷体_GB2312" w:hint="eastAsia"/>
          <w:sz w:val="28"/>
          <w:szCs w:val="28"/>
        </w:rPr>
        <w:t>（四）校企合作办学有利于职业教育进入市场</w:t>
      </w:r>
    </w:p>
    <w:p w:rsidR="00273494" w:rsidRDefault="00CF28EC">
      <w:pPr>
        <w:spacing w:line="360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 xml:space="preserve">    </w:t>
      </w:r>
      <w:r>
        <w:rPr>
          <w:rFonts w:ascii="宋体" w:hAnsi="宋体" w:cs="Times New Roman" w:hint="eastAsia"/>
          <w:sz w:val="28"/>
          <w:szCs w:val="28"/>
        </w:rPr>
        <w:t>职业技术教育进入市场，首先是进入人才市场，这就要求我们自觉地运用价值规律研究市场对人才的需求，不仅培养的数</w:t>
      </w:r>
      <w:r>
        <w:rPr>
          <w:rFonts w:ascii="宋体" w:hAnsi="宋体" w:cs="Times New Roman" w:hint="eastAsia"/>
          <w:sz w:val="28"/>
          <w:szCs w:val="28"/>
        </w:rPr>
        <w:t>量要相适应，而且专业结构还要相适应。但人才培养的周期和对人才需求的即时性又存在着矛盾，人才的大量储备滞销往往会带来严重的后果。鉴于这些原因，校企合作办学的优势便显示出来，即不仅能更好地培养人才，而且使职业教育在人才培养对路的前提下，等于毕业生提前在市场上找到就业门路。因此，校企合作办学有利于学生就业安置，有利于职业教育进入市场。</w:t>
      </w:r>
    </w:p>
    <w:p w:rsidR="00273494" w:rsidRDefault="00CF28EC">
      <w:pPr>
        <w:ind w:firstLineChars="200" w:firstLine="560"/>
        <w:rPr>
          <w:b/>
          <w:bCs/>
          <w:sz w:val="30"/>
          <w:szCs w:val="30"/>
        </w:rPr>
      </w:pPr>
      <w:r>
        <w:rPr>
          <w:sz w:val="28"/>
          <w:szCs w:val="28"/>
        </w:rPr>
        <w:t xml:space="preserve">                    </w:t>
      </w:r>
      <w:r>
        <w:rPr>
          <w:b/>
          <w:bCs/>
          <w:sz w:val="30"/>
          <w:szCs w:val="30"/>
        </w:rPr>
        <w:t xml:space="preserve"> </w:t>
      </w:r>
    </w:p>
    <w:p w:rsidR="00273494" w:rsidRDefault="00273494">
      <w:pPr>
        <w:ind w:firstLineChars="200" w:firstLine="602"/>
        <w:jc w:val="center"/>
        <w:rPr>
          <w:b/>
          <w:bCs/>
          <w:sz w:val="30"/>
          <w:szCs w:val="30"/>
        </w:rPr>
      </w:pPr>
    </w:p>
    <w:p w:rsidR="00273494" w:rsidRDefault="00CF28EC">
      <w:pPr>
        <w:ind w:firstLineChars="200" w:firstLine="60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结束语</w:t>
      </w:r>
    </w:p>
    <w:p w:rsidR="00273494" w:rsidRDefault="00273494">
      <w:pPr>
        <w:ind w:firstLineChars="200" w:firstLine="560"/>
        <w:rPr>
          <w:sz w:val="28"/>
          <w:szCs w:val="28"/>
        </w:rPr>
      </w:pPr>
    </w:p>
    <w:p w:rsidR="00273494" w:rsidRDefault="00CF28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大学生就业就是高校人才培养的末端环节，是培养质量的直接反映，是衡量一个学校办学质量和办学水平的重要指标，既关系着毕业生的切身</w:t>
      </w:r>
      <w:r>
        <w:rPr>
          <w:rFonts w:hint="eastAsia"/>
          <w:sz w:val="28"/>
          <w:szCs w:val="28"/>
        </w:rPr>
        <w:t>利益，也关系着学校的长远发展。面对新的形势和任务，我们深知任务艰巨，责任重大。今后，我们将认真贯彻落实国家相关政策，加强领导管理，狠抓落实，开拓奋进，迎难而上，积极探索符合我学院毕业生实际的、具有教师教育特色的、科学发展的大学生就业新途径，推动毕业生就业工作再上新的台阶！</w:t>
      </w:r>
    </w:p>
    <w:p w:rsidR="00273494" w:rsidRDefault="00273494">
      <w:pPr>
        <w:ind w:firstLineChars="200" w:firstLine="560"/>
        <w:rPr>
          <w:sz w:val="28"/>
          <w:szCs w:val="28"/>
        </w:rPr>
      </w:pPr>
    </w:p>
    <w:p w:rsidR="00273494" w:rsidRDefault="00273494">
      <w:pPr>
        <w:ind w:firstLineChars="200" w:firstLine="560"/>
        <w:rPr>
          <w:sz w:val="28"/>
          <w:szCs w:val="28"/>
        </w:rPr>
      </w:pPr>
    </w:p>
    <w:p w:rsidR="00273494" w:rsidRDefault="00273494">
      <w:pPr>
        <w:ind w:firstLineChars="200" w:firstLine="560"/>
        <w:rPr>
          <w:sz w:val="28"/>
          <w:szCs w:val="28"/>
        </w:rPr>
      </w:pPr>
    </w:p>
    <w:p w:rsidR="00273494" w:rsidRDefault="00273494">
      <w:pPr>
        <w:ind w:firstLineChars="200" w:firstLine="560"/>
        <w:rPr>
          <w:sz w:val="28"/>
          <w:szCs w:val="28"/>
        </w:rPr>
      </w:pPr>
    </w:p>
    <w:p w:rsidR="00273494" w:rsidRDefault="00273494">
      <w:pPr>
        <w:ind w:firstLineChars="200" w:firstLine="560"/>
        <w:rPr>
          <w:sz w:val="28"/>
          <w:szCs w:val="28"/>
        </w:rPr>
      </w:pPr>
    </w:p>
    <w:p w:rsidR="00273494" w:rsidRDefault="00CF28EC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273494" w:rsidRDefault="00273494">
      <w:pPr>
        <w:ind w:firstLineChars="200" w:firstLine="560"/>
        <w:rPr>
          <w:sz w:val="28"/>
          <w:szCs w:val="28"/>
        </w:rPr>
      </w:pPr>
    </w:p>
    <w:p w:rsidR="00273494" w:rsidRDefault="00273494">
      <w:pPr>
        <w:ind w:firstLineChars="200" w:firstLine="560"/>
        <w:rPr>
          <w:sz w:val="28"/>
          <w:szCs w:val="28"/>
        </w:rPr>
      </w:pPr>
    </w:p>
    <w:p w:rsidR="00273494" w:rsidRDefault="00CF28EC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石家庄城市经济职业学院</w:t>
      </w:r>
    </w:p>
    <w:p w:rsidR="00273494" w:rsidRDefault="00CF28EC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201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</w:p>
    <w:p w:rsidR="00273494" w:rsidRDefault="00273494">
      <w:pPr>
        <w:jc w:val="left"/>
        <w:rPr>
          <w:sz w:val="30"/>
          <w:szCs w:val="30"/>
        </w:rPr>
      </w:pPr>
    </w:p>
    <w:sectPr w:rsidR="00273494" w:rsidSect="00273494">
      <w:headerReference w:type="default" r:id="rId21"/>
      <w:footerReference w:type="default" r:id="rId22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EC" w:rsidRDefault="00CF28EC" w:rsidP="00273494">
      <w:r>
        <w:separator/>
      </w:r>
    </w:p>
  </w:endnote>
  <w:endnote w:type="continuationSeparator" w:id="0">
    <w:p w:rsidR="00CF28EC" w:rsidRDefault="00CF28EC" w:rsidP="00273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94" w:rsidRDefault="0027349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94" w:rsidRDefault="0027349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CHYqOC5AQAAVQMAAA4AAAAAAAAAAQAgAAAAHgEAAGRycy9lMm9Eb2MueG1sUEsFBgAAAAAGAAYA&#10;WQEAAEkFAAAAAA==&#10;" filled="f" stroked="f">
          <v:textbox style="mso-fit-shape-to-text:t" inset="0,0,0,0">
            <w:txbxContent>
              <w:p w:rsidR="00273494" w:rsidRDefault="00273494">
                <w:pPr>
                  <w:snapToGrid w:val="0"/>
                  <w:rPr>
                    <w:sz w:val="18"/>
                  </w:rPr>
                </w:pPr>
                <w:r w:rsidRPr="00273494">
                  <w:fldChar w:fldCharType="begin"/>
                </w:r>
                <w:r w:rsidR="00CF28EC">
                  <w:instrText xml:space="preserve"> PAGE  \* MERGEFORMAT </w:instrText>
                </w:r>
                <w:r w:rsidRPr="00273494">
                  <w:fldChar w:fldCharType="separate"/>
                </w:r>
                <w:r w:rsidR="00B64E29" w:rsidRPr="00B64E29">
                  <w:rPr>
                    <w:noProof/>
                    <w:sz w:val="18"/>
                  </w:rPr>
                  <w:t>11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EC" w:rsidRDefault="00CF28EC" w:rsidP="00273494">
      <w:r>
        <w:separator/>
      </w:r>
    </w:p>
  </w:footnote>
  <w:footnote w:type="continuationSeparator" w:id="0">
    <w:p w:rsidR="00CF28EC" w:rsidRDefault="00CF28EC" w:rsidP="00273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94" w:rsidRDefault="0027349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94" w:rsidRDefault="0027349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ascii="楷体_GB2312" w:eastAsia="楷体_GB2312" w:hAnsi="楷体_GB2312" w:cs="楷体_GB2312"/>
        <w:b/>
        <w:bCs/>
        <w:sz w:val="28"/>
        <w:szCs w:val="28"/>
      </w:rPr>
    </w:pPr>
  </w:p>
  <w:p w:rsidR="00273494" w:rsidRDefault="00CF28E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rFonts w:ascii="楷体_GB2312" w:eastAsia="楷体_GB2312" w:hAnsi="楷体_GB2312" w:cs="楷体_GB2312"/>
        <w:b/>
        <w:bCs/>
        <w:sz w:val="28"/>
        <w:szCs w:val="28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94" w:rsidRDefault="0027349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94" w:rsidRDefault="00CF28E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rFonts w:ascii="楷体_GB2312" w:eastAsia="楷体_GB2312" w:hAnsi="楷体_GB2312" w:cs="楷体_GB2312"/>
        <w:b/>
        <w:bCs/>
        <w:noProof/>
        <w:sz w:val="48"/>
        <w:szCs w:val="48"/>
      </w:rPr>
      <w:drawing>
        <wp:inline distT="0" distB="0" distL="114300" distR="114300">
          <wp:extent cx="523875" cy="381000"/>
          <wp:effectExtent l="0" t="0" r="9525" b="0"/>
          <wp:docPr id="2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875" cy="381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楷体_GB2312" w:eastAsia="楷体_GB2312" w:hAnsi="楷体_GB2312" w:cs="楷体_GB2312" w:hint="eastAsia"/>
        <w:b/>
        <w:bCs/>
        <w:sz w:val="24"/>
      </w:rPr>
      <w:t>石家庄城市经济职业学院</w:t>
    </w:r>
    <w:r>
      <w:rPr>
        <w:rFonts w:ascii="楷体_GB2312" w:eastAsia="楷体_GB2312" w:hAnsi="楷体_GB2312" w:cs="楷体_GB2312"/>
        <w:b/>
        <w:bCs/>
        <w:sz w:val="24"/>
      </w:rPr>
      <w:t xml:space="preserve">          201</w:t>
    </w:r>
    <w:r>
      <w:rPr>
        <w:rFonts w:ascii="楷体_GB2312" w:eastAsia="楷体_GB2312" w:hAnsi="楷体_GB2312" w:cs="楷体_GB2312" w:hint="eastAsia"/>
        <w:b/>
        <w:bCs/>
        <w:sz w:val="24"/>
      </w:rPr>
      <w:t>9</w:t>
    </w:r>
    <w:r>
      <w:rPr>
        <w:rFonts w:ascii="楷体_GB2312" w:eastAsia="楷体_GB2312" w:hAnsi="楷体_GB2312" w:cs="楷体_GB2312" w:hint="eastAsia"/>
        <w:b/>
        <w:bCs/>
        <w:sz w:val="24"/>
      </w:rPr>
      <w:t>届毕业生就业质量年度报告</w:t>
    </w:r>
    <w:r>
      <w:rPr>
        <w:rFonts w:ascii="楷体_GB2312" w:eastAsia="楷体_GB2312" w:hAnsi="楷体_GB2312" w:cs="楷体_GB2312"/>
        <w:b/>
        <w:bCs/>
        <w:sz w:val="28"/>
        <w:szCs w:val="28"/>
      </w:rP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363630"/>
    <w:multiLevelType w:val="singleLevel"/>
    <w:tmpl w:val="90363630"/>
    <w:lvl w:ilvl="0">
      <w:start w:val="1"/>
      <w:numFmt w:val="chineseCounting"/>
      <w:suff w:val="nothing"/>
      <w:lvlText w:val="%1、"/>
      <w:lvlJc w:val="left"/>
      <w:pPr>
        <w:ind w:left="562" w:firstLine="0"/>
      </w:pPr>
      <w:rPr>
        <w:rFonts w:hint="eastAsia"/>
      </w:rPr>
    </w:lvl>
  </w:abstractNum>
  <w:abstractNum w:abstractNumId="1">
    <w:nsid w:val="56692303"/>
    <w:multiLevelType w:val="singleLevel"/>
    <w:tmpl w:val="5669230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6692A5E"/>
    <w:multiLevelType w:val="singleLevel"/>
    <w:tmpl w:val="56692A5E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6692A96"/>
    <w:multiLevelType w:val="singleLevel"/>
    <w:tmpl w:val="56692A96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66E847D"/>
    <w:multiLevelType w:val="singleLevel"/>
    <w:tmpl w:val="566E847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47F565ED"/>
    <w:rsid w:val="000244E2"/>
    <w:rsid w:val="00091489"/>
    <w:rsid w:val="00135726"/>
    <w:rsid w:val="00151DD9"/>
    <w:rsid w:val="00171281"/>
    <w:rsid w:val="00196D92"/>
    <w:rsid w:val="001E4B04"/>
    <w:rsid w:val="00271107"/>
    <w:rsid w:val="00273494"/>
    <w:rsid w:val="002746D8"/>
    <w:rsid w:val="00332C15"/>
    <w:rsid w:val="00337F08"/>
    <w:rsid w:val="003507E0"/>
    <w:rsid w:val="00362E36"/>
    <w:rsid w:val="00370426"/>
    <w:rsid w:val="003C41AD"/>
    <w:rsid w:val="003D7740"/>
    <w:rsid w:val="003F62D8"/>
    <w:rsid w:val="004B6279"/>
    <w:rsid w:val="004D5FCB"/>
    <w:rsid w:val="004E3B37"/>
    <w:rsid w:val="005377AF"/>
    <w:rsid w:val="005C7BC8"/>
    <w:rsid w:val="005E67E9"/>
    <w:rsid w:val="00601409"/>
    <w:rsid w:val="00601D8C"/>
    <w:rsid w:val="00642D81"/>
    <w:rsid w:val="006603C0"/>
    <w:rsid w:val="00684D1F"/>
    <w:rsid w:val="006937B9"/>
    <w:rsid w:val="006B4419"/>
    <w:rsid w:val="006F4445"/>
    <w:rsid w:val="006F7C79"/>
    <w:rsid w:val="007261AD"/>
    <w:rsid w:val="00727DB2"/>
    <w:rsid w:val="00734916"/>
    <w:rsid w:val="007A26C6"/>
    <w:rsid w:val="007D0FB0"/>
    <w:rsid w:val="007D696A"/>
    <w:rsid w:val="007F2BAE"/>
    <w:rsid w:val="007F6D70"/>
    <w:rsid w:val="00804360"/>
    <w:rsid w:val="00811AC3"/>
    <w:rsid w:val="00824C01"/>
    <w:rsid w:val="008526FB"/>
    <w:rsid w:val="00897072"/>
    <w:rsid w:val="008E1344"/>
    <w:rsid w:val="00911512"/>
    <w:rsid w:val="009B46A9"/>
    <w:rsid w:val="009C4709"/>
    <w:rsid w:val="009C53E0"/>
    <w:rsid w:val="009E2F6D"/>
    <w:rsid w:val="009F620F"/>
    <w:rsid w:val="00A53ADC"/>
    <w:rsid w:val="00A552E5"/>
    <w:rsid w:val="00A61753"/>
    <w:rsid w:val="00AB250A"/>
    <w:rsid w:val="00AE30AD"/>
    <w:rsid w:val="00AE39EC"/>
    <w:rsid w:val="00B33E9C"/>
    <w:rsid w:val="00B60E32"/>
    <w:rsid w:val="00B64E29"/>
    <w:rsid w:val="00B7436E"/>
    <w:rsid w:val="00BA15B2"/>
    <w:rsid w:val="00BB6262"/>
    <w:rsid w:val="00BC4B80"/>
    <w:rsid w:val="00BD0392"/>
    <w:rsid w:val="00C07F0D"/>
    <w:rsid w:val="00C639BC"/>
    <w:rsid w:val="00C81397"/>
    <w:rsid w:val="00CC262C"/>
    <w:rsid w:val="00CF28EC"/>
    <w:rsid w:val="00D45FEE"/>
    <w:rsid w:val="00D54430"/>
    <w:rsid w:val="00D55E6C"/>
    <w:rsid w:val="00DD780B"/>
    <w:rsid w:val="00DF0793"/>
    <w:rsid w:val="00E44A57"/>
    <w:rsid w:val="00EB01F9"/>
    <w:rsid w:val="00EB688E"/>
    <w:rsid w:val="00F14F42"/>
    <w:rsid w:val="00F35CD2"/>
    <w:rsid w:val="00F52212"/>
    <w:rsid w:val="00F577EC"/>
    <w:rsid w:val="00FB2F8B"/>
    <w:rsid w:val="00FC35E3"/>
    <w:rsid w:val="00FE38F2"/>
    <w:rsid w:val="01FB23CB"/>
    <w:rsid w:val="02235B0E"/>
    <w:rsid w:val="028F64C2"/>
    <w:rsid w:val="038D2B62"/>
    <w:rsid w:val="03CF7D8E"/>
    <w:rsid w:val="03EB50FA"/>
    <w:rsid w:val="03F66D0E"/>
    <w:rsid w:val="043A3F7F"/>
    <w:rsid w:val="04906F0D"/>
    <w:rsid w:val="050E5C28"/>
    <w:rsid w:val="05D10F75"/>
    <w:rsid w:val="062D7C32"/>
    <w:rsid w:val="069B2915"/>
    <w:rsid w:val="07250EAC"/>
    <w:rsid w:val="07D826DE"/>
    <w:rsid w:val="08945E23"/>
    <w:rsid w:val="09C94B9B"/>
    <w:rsid w:val="09FE75F3"/>
    <w:rsid w:val="0A52707D"/>
    <w:rsid w:val="0A9642EF"/>
    <w:rsid w:val="0B0C24A9"/>
    <w:rsid w:val="0BBC084E"/>
    <w:rsid w:val="0BC45C5A"/>
    <w:rsid w:val="0C3D5924"/>
    <w:rsid w:val="0C9C46EF"/>
    <w:rsid w:val="0E3869E3"/>
    <w:rsid w:val="0E5C7E9D"/>
    <w:rsid w:val="0E642D2B"/>
    <w:rsid w:val="0EB3632D"/>
    <w:rsid w:val="0EE67E01"/>
    <w:rsid w:val="0F0A34B9"/>
    <w:rsid w:val="109B03CC"/>
    <w:rsid w:val="10D820B6"/>
    <w:rsid w:val="112B649C"/>
    <w:rsid w:val="11697B20"/>
    <w:rsid w:val="11751E73"/>
    <w:rsid w:val="11C101AE"/>
    <w:rsid w:val="12583DD8"/>
    <w:rsid w:val="12FB4A33"/>
    <w:rsid w:val="13021E3F"/>
    <w:rsid w:val="14200F92"/>
    <w:rsid w:val="14AB30F5"/>
    <w:rsid w:val="14AD1E7B"/>
    <w:rsid w:val="15242DBE"/>
    <w:rsid w:val="156670AB"/>
    <w:rsid w:val="16DB3480"/>
    <w:rsid w:val="18794983"/>
    <w:rsid w:val="19584A22"/>
    <w:rsid w:val="196D1144"/>
    <w:rsid w:val="1A626951"/>
    <w:rsid w:val="1AD541BF"/>
    <w:rsid w:val="1ADE3924"/>
    <w:rsid w:val="1B764D9C"/>
    <w:rsid w:val="1DE13B91"/>
    <w:rsid w:val="1E1E7279"/>
    <w:rsid w:val="1E6D287C"/>
    <w:rsid w:val="1EFB5963"/>
    <w:rsid w:val="1F0772D7"/>
    <w:rsid w:val="1F264229"/>
    <w:rsid w:val="1F5C4703"/>
    <w:rsid w:val="1F7268A6"/>
    <w:rsid w:val="2056239C"/>
    <w:rsid w:val="21862A8E"/>
    <w:rsid w:val="223B12B8"/>
    <w:rsid w:val="226A6584"/>
    <w:rsid w:val="22EC10DB"/>
    <w:rsid w:val="2361109A"/>
    <w:rsid w:val="23F43ED1"/>
    <w:rsid w:val="245D5A49"/>
    <w:rsid w:val="247321DC"/>
    <w:rsid w:val="24FF7851"/>
    <w:rsid w:val="26A84832"/>
    <w:rsid w:val="26E563DD"/>
    <w:rsid w:val="26E92BE5"/>
    <w:rsid w:val="26F07FF2"/>
    <w:rsid w:val="27112725"/>
    <w:rsid w:val="27CA1ED3"/>
    <w:rsid w:val="27DD3D28"/>
    <w:rsid w:val="28233866"/>
    <w:rsid w:val="2A6D37AC"/>
    <w:rsid w:val="2AD72D2C"/>
    <w:rsid w:val="2B102FB5"/>
    <w:rsid w:val="2B320F6B"/>
    <w:rsid w:val="2B683643"/>
    <w:rsid w:val="2CE079AD"/>
    <w:rsid w:val="2D41674C"/>
    <w:rsid w:val="2D703A18"/>
    <w:rsid w:val="2E953B7B"/>
    <w:rsid w:val="2EE650A4"/>
    <w:rsid w:val="2F152910"/>
    <w:rsid w:val="2F226C62"/>
    <w:rsid w:val="2F386C07"/>
    <w:rsid w:val="2F6376CB"/>
    <w:rsid w:val="2FCD70FB"/>
    <w:rsid w:val="306814F8"/>
    <w:rsid w:val="307A3AD1"/>
    <w:rsid w:val="31715D61"/>
    <w:rsid w:val="31B859A2"/>
    <w:rsid w:val="31CA113F"/>
    <w:rsid w:val="33D72119"/>
    <w:rsid w:val="347A51A5"/>
    <w:rsid w:val="348B0F44"/>
    <w:rsid w:val="34D15BB4"/>
    <w:rsid w:val="34F23B6A"/>
    <w:rsid w:val="35B516AA"/>
    <w:rsid w:val="36584736"/>
    <w:rsid w:val="36AF5145"/>
    <w:rsid w:val="36C41867"/>
    <w:rsid w:val="36FB77C2"/>
    <w:rsid w:val="37A80BE0"/>
    <w:rsid w:val="382B20B3"/>
    <w:rsid w:val="39F21A1E"/>
    <w:rsid w:val="3A2940F7"/>
    <w:rsid w:val="3A6E73B7"/>
    <w:rsid w:val="3AF834CA"/>
    <w:rsid w:val="3B4217DC"/>
    <w:rsid w:val="3BDA7340"/>
    <w:rsid w:val="3C94676F"/>
    <w:rsid w:val="3EA80A2D"/>
    <w:rsid w:val="3F2732FF"/>
    <w:rsid w:val="3FE62C32"/>
    <w:rsid w:val="408234E1"/>
    <w:rsid w:val="40C50AD3"/>
    <w:rsid w:val="416822BE"/>
    <w:rsid w:val="42161379"/>
    <w:rsid w:val="426D1D88"/>
    <w:rsid w:val="43056A83"/>
    <w:rsid w:val="447434B1"/>
    <w:rsid w:val="44E12E4C"/>
    <w:rsid w:val="451C3D98"/>
    <w:rsid w:val="45913BE2"/>
    <w:rsid w:val="4597133B"/>
    <w:rsid w:val="45BB0276"/>
    <w:rsid w:val="47472D3E"/>
    <w:rsid w:val="477914D1"/>
    <w:rsid w:val="47F00216"/>
    <w:rsid w:val="47F565ED"/>
    <w:rsid w:val="480A7341"/>
    <w:rsid w:val="48516FB5"/>
    <w:rsid w:val="487D684F"/>
    <w:rsid w:val="494C6E4D"/>
    <w:rsid w:val="49C35B92"/>
    <w:rsid w:val="4A6F152E"/>
    <w:rsid w:val="4A7843BC"/>
    <w:rsid w:val="4B52459A"/>
    <w:rsid w:val="4BCB5F67"/>
    <w:rsid w:val="4C5948D2"/>
    <w:rsid w:val="4C674FDB"/>
    <w:rsid w:val="4D9145CE"/>
    <w:rsid w:val="4DEE5476"/>
    <w:rsid w:val="4EE10A78"/>
    <w:rsid w:val="4F1B40D5"/>
    <w:rsid w:val="4FE83829"/>
    <w:rsid w:val="50294293"/>
    <w:rsid w:val="50804CA1"/>
    <w:rsid w:val="50816EA0"/>
    <w:rsid w:val="5097277E"/>
    <w:rsid w:val="517A073C"/>
    <w:rsid w:val="5208218F"/>
    <w:rsid w:val="525B7A2A"/>
    <w:rsid w:val="537517FC"/>
    <w:rsid w:val="54267F9B"/>
    <w:rsid w:val="54AF247D"/>
    <w:rsid w:val="54B67ED8"/>
    <w:rsid w:val="55B84EAE"/>
    <w:rsid w:val="566540CD"/>
    <w:rsid w:val="56C440E6"/>
    <w:rsid w:val="57271C0D"/>
    <w:rsid w:val="57ED4E4E"/>
    <w:rsid w:val="58560FFA"/>
    <w:rsid w:val="58B357FC"/>
    <w:rsid w:val="58D81D40"/>
    <w:rsid w:val="58E65065"/>
    <w:rsid w:val="58F133F6"/>
    <w:rsid w:val="59946483"/>
    <w:rsid w:val="59C90D10"/>
    <w:rsid w:val="5AA233D8"/>
    <w:rsid w:val="5ACF2987"/>
    <w:rsid w:val="5AD86B1A"/>
    <w:rsid w:val="5B2D07A3"/>
    <w:rsid w:val="5B4516CD"/>
    <w:rsid w:val="5CC52791"/>
    <w:rsid w:val="5CD16885"/>
    <w:rsid w:val="5DFC0941"/>
    <w:rsid w:val="5EF665DA"/>
    <w:rsid w:val="5F6E1C51"/>
    <w:rsid w:val="5F7858AF"/>
    <w:rsid w:val="5FAB1581"/>
    <w:rsid w:val="6041134F"/>
    <w:rsid w:val="60923DFD"/>
    <w:rsid w:val="615573BE"/>
    <w:rsid w:val="61775374"/>
    <w:rsid w:val="621C6150"/>
    <w:rsid w:val="62C26618"/>
    <w:rsid w:val="646E2E54"/>
    <w:rsid w:val="65CA38C5"/>
    <w:rsid w:val="65D07218"/>
    <w:rsid w:val="66277C26"/>
    <w:rsid w:val="675A6D1E"/>
    <w:rsid w:val="68D73C8C"/>
    <w:rsid w:val="69382A2C"/>
    <w:rsid w:val="695967E4"/>
    <w:rsid w:val="6A48066B"/>
    <w:rsid w:val="6A9E6E7B"/>
    <w:rsid w:val="6BB84CA0"/>
    <w:rsid w:val="6C37119B"/>
    <w:rsid w:val="6C5164C2"/>
    <w:rsid w:val="6CA27744"/>
    <w:rsid w:val="6D8C29C6"/>
    <w:rsid w:val="6DD901F2"/>
    <w:rsid w:val="6EC16365"/>
    <w:rsid w:val="6EE70B54"/>
    <w:rsid w:val="6FEB702D"/>
    <w:rsid w:val="700C7562"/>
    <w:rsid w:val="705F184D"/>
    <w:rsid w:val="715D5C0A"/>
    <w:rsid w:val="71C92D3B"/>
    <w:rsid w:val="724A7E11"/>
    <w:rsid w:val="72E57491"/>
    <w:rsid w:val="736A2763"/>
    <w:rsid w:val="73707BF4"/>
    <w:rsid w:val="74491AD5"/>
    <w:rsid w:val="758C33E6"/>
    <w:rsid w:val="759E28D8"/>
    <w:rsid w:val="763273F7"/>
    <w:rsid w:val="765C3ABF"/>
    <w:rsid w:val="76EA48CE"/>
    <w:rsid w:val="76FF0128"/>
    <w:rsid w:val="773D2DAD"/>
    <w:rsid w:val="77B763E9"/>
    <w:rsid w:val="78C5192F"/>
    <w:rsid w:val="78CF7CC0"/>
    <w:rsid w:val="79096BA0"/>
    <w:rsid w:val="79753CD1"/>
    <w:rsid w:val="7ABB1DEA"/>
    <w:rsid w:val="7B1366A0"/>
    <w:rsid w:val="7B683207"/>
    <w:rsid w:val="7C4D082D"/>
    <w:rsid w:val="7C540886"/>
    <w:rsid w:val="7E0A24D6"/>
    <w:rsid w:val="7E566D52"/>
    <w:rsid w:val="7E6B3474"/>
    <w:rsid w:val="7EA11750"/>
    <w:rsid w:val="7F567F7A"/>
    <w:rsid w:val="7FB1158D"/>
    <w:rsid w:val="7FC63AB1"/>
    <w:rsid w:val="7FE31A3B"/>
    <w:rsid w:val="7FF5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9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7349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734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paragraph" w:styleId="a5">
    <w:name w:val="Normal (Web)"/>
    <w:basedOn w:val="a"/>
    <w:qFormat/>
    <w:rsid w:val="0027349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rsid w:val="002734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locked/>
    <w:rsid w:val="00273494"/>
    <w:rPr>
      <w:rFonts w:ascii="Calibri" w:hAnsi="Calibri" w:cs="Times New Roman"/>
      <w:sz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273494"/>
    <w:rPr>
      <w:rFonts w:ascii="Calibri" w:hAnsi="Calibri" w:cs="Times New Roman"/>
      <w:sz w:val="18"/>
    </w:rPr>
  </w:style>
  <w:style w:type="table" w:customStyle="1" w:styleId="GridTableLight">
    <w:name w:val="Grid Table Light"/>
    <w:basedOn w:val="a1"/>
    <w:uiPriority w:val="40"/>
    <w:qFormat/>
    <w:rsid w:val="00273494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qFormat/>
    <w:rsid w:val="002734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uiPriority w:val="99"/>
    <w:qFormat/>
    <w:rsid w:val="00273494"/>
    <w:pPr>
      <w:ind w:firstLineChars="200" w:firstLine="420"/>
    </w:pPr>
  </w:style>
  <w:style w:type="table" w:customStyle="1" w:styleId="GridTable4Accent4">
    <w:name w:val="Grid Table 4 Accent 4"/>
    <w:basedOn w:val="a1"/>
    <w:uiPriority w:val="49"/>
    <w:qFormat/>
    <w:rsid w:val="00273494"/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6">
    <w:name w:val="Grid Table 4 Accent 6"/>
    <w:basedOn w:val="a1"/>
    <w:uiPriority w:val="49"/>
    <w:qFormat/>
    <w:rsid w:val="00273494"/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Accent5">
    <w:name w:val="Grid Table 5 Dark Accent 5"/>
    <w:basedOn w:val="a1"/>
    <w:uiPriority w:val="50"/>
    <w:qFormat/>
    <w:rsid w:val="00273494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3">
    <w:name w:val="Grid Table 5 Dark Accent 3"/>
    <w:basedOn w:val="a1"/>
    <w:uiPriority w:val="50"/>
    <w:qFormat/>
    <w:rsid w:val="00273494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a1"/>
    <w:uiPriority w:val="50"/>
    <w:qFormat/>
    <w:rsid w:val="00273494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6">
    <w:name w:val="Grid Table 5 Dark Accent 6"/>
    <w:basedOn w:val="a1"/>
    <w:uiPriority w:val="50"/>
    <w:qFormat/>
    <w:rsid w:val="00273494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Accent3">
    <w:name w:val="Grid Table 6 Colorful Accent 3"/>
    <w:basedOn w:val="a1"/>
    <w:uiPriority w:val="51"/>
    <w:qFormat/>
    <w:rsid w:val="00273494"/>
    <w:rPr>
      <w:color w:val="76923C" w:themeColor="accent3" w:themeShade="BF"/>
    </w:rPr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B64E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64E2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2.xml"/><Relationship Id="rId22" Type="http://schemas.openxmlformats.org/officeDocument/2006/relationships/footer" Target="foot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5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61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71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81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2017</a:t>
            </a:r>
            <a:r>
              <a:rPr altLang="en-US"/>
              <a:t>届</a:t>
            </a:r>
            <a:r>
              <a:rPr lang="en-US" altLang="zh-CN"/>
              <a:t>-2019</a:t>
            </a:r>
            <a:r>
              <a:rPr altLang="en-US"/>
              <a:t>届毕业生去向情况</a:t>
            </a:r>
            <a:endParaRPr lang="en-US" altLang="zh-CN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就业率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2017届</c:v>
                </c:pt>
                <c:pt idx="1">
                  <c:v>2018届</c:v>
                </c:pt>
                <c:pt idx="2">
                  <c:v>2019届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 formatCode="0.00%">
                  <c:v>0.62880000000000025</c:v>
                </c:pt>
                <c:pt idx="1">
                  <c:v>0.68</c:v>
                </c:pt>
                <c:pt idx="2" formatCode="0.00%">
                  <c:v>0.57330000000000003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升学率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2017届</c:v>
                </c:pt>
                <c:pt idx="1">
                  <c:v>2018届</c:v>
                </c:pt>
                <c:pt idx="2">
                  <c:v>2019届</c:v>
                </c:pt>
              </c:strCache>
            </c:strRef>
          </c:cat>
          <c:val>
            <c:numRef>
              <c:f>Sheet1!$C$2:$C$3</c:f>
              <c:numCache>
                <c:formatCode>0.00%</c:formatCode>
                <c:ptCount val="2"/>
                <c:pt idx="0">
                  <c:v>2.2700000000000008E-2</c:v>
                </c:pt>
                <c:pt idx="1">
                  <c:v>1.5200000000000003E-2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未就业率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2017届</c:v>
                </c:pt>
                <c:pt idx="1">
                  <c:v>2018届</c:v>
                </c:pt>
                <c:pt idx="2">
                  <c:v>2019届</c:v>
                </c:pt>
              </c:strCache>
            </c:strRef>
          </c:cat>
          <c:val>
            <c:numRef>
              <c:f>Sheet1!$D$2:$D$4</c:f>
              <c:numCache>
                <c:formatCode>0.00%</c:formatCode>
                <c:ptCount val="3"/>
                <c:pt idx="0">
                  <c:v>0.34850000000000009</c:v>
                </c:pt>
                <c:pt idx="1">
                  <c:v>0.29080000000000011</c:v>
                </c:pt>
                <c:pt idx="2">
                  <c:v>0.42670000000000002</c:v>
                </c:pt>
              </c:numCache>
            </c:numRef>
          </c:val>
        </c:ser>
        <c:gapWidth val="219"/>
        <c:overlap val="-27"/>
        <c:axId val="106817792"/>
        <c:axId val="107470848"/>
      </c:barChart>
      <c:catAx>
        <c:axId val="106817792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7470848"/>
        <c:crosses val="autoZero"/>
        <c:auto val="1"/>
        <c:lblAlgn val="ctr"/>
        <c:lblOffset val="100"/>
      </c:catAx>
      <c:valAx>
        <c:axId val="1074708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817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2017</a:t>
            </a:r>
            <a:r>
              <a:rPr altLang="en-US"/>
              <a:t>届</a:t>
            </a:r>
            <a:r>
              <a:rPr lang="en-US" altLang="zh-CN"/>
              <a:t>-2019</a:t>
            </a:r>
            <a:r>
              <a:rPr altLang="en-US"/>
              <a:t>届毕业生就业流向性质情况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党政机关，事业单位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2017届</c:v>
                </c:pt>
                <c:pt idx="1">
                  <c:v>2018届</c:v>
                </c:pt>
                <c:pt idx="2">
                  <c:v>2019届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2.5000000000000008E-2</c:v>
                </c:pt>
                <c:pt idx="1">
                  <c:v>2.8000000000000004E-2</c:v>
                </c:pt>
                <c:pt idx="2">
                  <c:v>2.2000000000000009E-2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国有企业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2017届</c:v>
                </c:pt>
                <c:pt idx="1">
                  <c:v>2018届</c:v>
                </c:pt>
                <c:pt idx="2">
                  <c:v>2019届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0.2950000000000001</c:v>
                </c:pt>
                <c:pt idx="1">
                  <c:v>0.25</c:v>
                </c:pt>
                <c:pt idx="2">
                  <c:v>0.27200000000000002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民营企业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2017届</c:v>
                </c:pt>
                <c:pt idx="1">
                  <c:v>2018届</c:v>
                </c:pt>
                <c:pt idx="2">
                  <c:v>2019届</c:v>
                </c:pt>
              </c:strCache>
            </c:strRef>
          </c:cat>
          <c:val>
            <c:numRef>
              <c:f>Sheet1!$D$2:$D$4</c:f>
              <c:numCache>
                <c:formatCode>0.00%</c:formatCode>
                <c:ptCount val="3"/>
                <c:pt idx="0">
                  <c:v>0.62500000000000022</c:v>
                </c:pt>
                <c:pt idx="1">
                  <c:v>0.65000000000000024</c:v>
                </c:pt>
                <c:pt idx="2" formatCode="0%">
                  <c:v>0.67000000000000026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其他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2017届</c:v>
                </c:pt>
                <c:pt idx="1">
                  <c:v>2018届</c:v>
                </c:pt>
                <c:pt idx="2">
                  <c:v>2019届</c:v>
                </c:pt>
              </c:strCache>
            </c:strRef>
          </c:cat>
          <c:val>
            <c:numRef>
              <c:f>Sheet1!$E$2:$E$4</c:f>
              <c:numCache>
                <c:formatCode>0.00%</c:formatCode>
                <c:ptCount val="3"/>
                <c:pt idx="0">
                  <c:v>5.5000000000000007E-2</c:v>
                </c:pt>
                <c:pt idx="1">
                  <c:v>7.2000000000000022E-2</c:v>
                </c:pt>
                <c:pt idx="2">
                  <c:v>3.6000000000000011E-2</c:v>
                </c:pt>
              </c:numCache>
            </c:numRef>
          </c:val>
        </c:ser>
        <c:gapWidth val="219"/>
        <c:overlap val="-27"/>
        <c:axId val="128035840"/>
        <c:axId val="106819584"/>
      </c:barChart>
      <c:catAx>
        <c:axId val="128035840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819584"/>
        <c:crosses val="autoZero"/>
        <c:auto val="1"/>
        <c:lblAlgn val="ctr"/>
        <c:lblOffset val="100"/>
      </c:catAx>
      <c:valAx>
        <c:axId val="1068195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8035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2017</a:t>
            </a:r>
            <a:r>
              <a:rPr altLang="en-US"/>
              <a:t>届</a:t>
            </a:r>
            <a:r>
              <a:rPr lang="en-US" altLang="zh-CN"/>
              <a:t>-2019</a:t>
            </a:r>
            <a:r>
              <a:rPr altLang="en-US"/>
              <a:t>届毕业生就业流向地区情况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西部就业比例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2017届</c:v>
                </c:pt>
                <c:pt idx="1">
                  <c:v>2018届</c:v>
                </c:pt>
                <c:pt idx="2">
                  <c:v>2019届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6.5000000000000002E-2</c:v>
                </c:pt>
                <c:pt idx="1">
                  <c:v>6.3E-2</c:v>
                </c:pt>
                <c:pt idx="2">
                  <c:v>9.4000000000000028E-2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南部就业比列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2017届</c:v>
                </c:pt>
                <c:pt idx="1">
                  <c:v>2018届</c:v>
                </c:pt>
                <c:pt idx="2">
                  <c:v>2019届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0.15500000000000005</c:v>
                </c:pt>
                <c:pt idx="1">
                  <c:v>0.13700000000000001</c:v>
                </c:pt>
                <c:pt idx="2">
                  <c:v>8.1100000000000033E-2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东部就业比例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2017届</c:v>
                </c:pt>
                <c:pt idx="1">
                  <c:v>2018届</c:v>
                </c:pt>
                <c:pt idx="2">
                  <c:v>2019届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 formatCode="0.00%">
                  <c:v>0.52529999999999999</c:v>
                </c:pt>
                <c:pt idx="1">
                  <c:v>0.6000000000000002</c:v>
                </c:pt>
                <c:pt idx="2" formatCode="0.00%">
                  <c:v>0.70860000000000023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京津沪就业比例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2017届</c:v>
                </c:pt>
                <c:pt idx="1">
                  <c:v>2018届</c:v>
                </c:pt>
                <c:pt idx="2">
                  <c:v>2019届</c:v>
                </c:pt>
              </c:strCache>
            </c:strRef>
          </c:cat>
          <c:val>
            <c:numRef>
              <c:f>Sheet1!$E$2:$E$4</c:f>
              <c:numCache>
                <c:formatCode>0%</c:formatCode>
                <c:ptCount val="3"/>
                <c:pt idx="0" formatCode="0.00%">
                  <c:v>0.25469999999999998</c:v>
                </c:pt>
                <c:pt idx="1">
                  <c:v>0.2</c:v>
                </c:pt>
                <c:pt idx="2" formatCode="0.00%">
                  <c:v>0.11170000000000002</c:v>
                </c:pt>
              </c:numCache>
            </c:numRef>
          </c:val>
        </c:ser>
        <c:gapWidth val="219"/>
        <c:overlap val="-27"/>
        <c:axId val="107478400"/>
        <c:axId val="107615360"/>
      </c:barChart>
      <c:catAx>
        <c:axId val="107478400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7615360"/>
        <c:crosses val="autoZero"/>
        <c:auto val="1"/>
        <c:lblAlgn val="ctr"/>
        <c:lblOffset val="100"/>
      </c:catAx>
      <c:valAx>
        <c:axId val="1076153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7478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用人单位对毕业生的总体满意度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非常满意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职业能力</c:v>
                </c:pt>
                <c:pt idx="1">
                  <c:v>职业素养</c:v>
                </c:pt>
                <c:pt idx="2">
                  <c:v>专业素养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0.18000000000000005</c:v>
                </c:pt>
                <c:pt idx="1">
                  <c:v>0.27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满意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职业能力</c:v>
                </c:pt>
                <c:pt idx="1">
                  <c:v>职业素养</c:v>
                </c:pt>
                <c:pt idx="2">
                  <c:v>专业素养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0.57000000000000017</c:v>
                </c:pt>
                <c:pt idx="1">
                  <c:v>0.4300000000000001</c:v>
                </c:pt>
                <c:pt idx="2">
                  <c:v>0.62000000000000022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合格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职业能力</c:v>
                </c:pt>
                <c:pt idx="1">
                  <c:v>职业素养</c:v>
                </c:pt>
                <c:pt idx="2">
                  <c:v>专业素养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0.17</c:v>
                </c:pt>
                <c:pt idx="1">
                  <c:v>0.25</c:v>
                </c:pt>
                <c:pt idx="2">
                  <c:v>0.15000000000000005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不满意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职业能力</c:v>
                </c:pt>
                <c:pt idx="1">
                  <c:v>职业素养</c:v>
                </c:pt>
                <c:pt idx="2">
                  <c:v>专业素养</c:v>
                </c:pt>
              </c:strCache>
            </c:strRef>
          </c:cat>
          <c:val>
            <c:numRef>
              <c:f>Sheet1!$E$2:$E$4</c:f>
              <c:numCache>
                <c:formatCode>0%</c:formatCode>
                <c:ptCount val="3"/>
                <c:pt idx="0">
                  <c:v>8.0000000000000029E-2</c:v>
                </c:pt>
                <c:pt idx="1">
                  <c:v>0.05</c:v>
                </c:pt>
                <c:pt idx="2">
                  <c:v>3.0000000000000002E-2</c:v>
                </c:pt>
              </c:numCache>
            </c:numRef>
          </c:val>
        </c:ser>
        <c:gapWidth val="219"/>
        <c:overlap val="-27"/>
        <c:axId val="106615552"/>
        <c:axId val="106617088"/>
      </c:barChart>
      <c:catAx>
        <c:axId val="106615552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617088"/>
        <c:crosses val="autoZero"/>
        <c:auto val="1"/>
        <c:lblAlgn val="ctr"/>
        <c:lblOffset val="100"/>
      </c:catAx>
      <c:valAx>
        <c:axId val="1066170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615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用人单位对校企合作的评价</a:t>
            </a:r>
          </a:p>
        </c:rich>
      </c:tx>
      <c:layout>
        <c:manualLayout>
          <c:xMode val="edge"/>
          <c:yMode val="edge"/>
          <c:x val="0.287797763733593"/>
          <c:y val="3.193900679991761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3427321341759808E-2"/>
          <c:y val="0.15001030290541906"/>
          <c:w val="0.92992221682061205"/>
          <c:h val="0.64957758087780781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非常满意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联合培养</c:v>
                </c:pt>
                <c:pt idx="1">
                  <c:v>企业实训</c:v>
                </c:pt>
                <c:pt idx="2">
                  <c:v>产教结合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0.27</c:v>
                </c:pt>
                <c:pt idx="1">
                  <c:v>0.14000000000000001</c:v>
                </c:pt>
                <c:pt idx="2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满意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联合培养</c:v>
                </c:pt>
                <c:pt idx="1">
                  <c:v>企业实训</c:v>
                </c:pt>
                <c:pt idx="2">
                  <c:v>产教结合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0.64000000000000024</c:v>
                </c:pt>
                <c:pt idx="1">
                  <c:v>0.58000000000000007</c:v>
                </c:pt>
                <c:pt idx="2">
                  <c:v>0.34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合格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联合培养</c:v>
                </c:pt>
                <c:pt idx="1">
                  <c:v>企业实训</c:v>
                </c:pt>
                <c:pt idx="2">
                  <c:v>产教结合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7.0000000000000021E-2</c:v>
                </c:pt>
                <c:pt idx="1">
                  <c:v>0.25</c:v>
                </c:pt>
                <c:pt idx="2">
                  <c:v>0.31000000000000011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不满意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Sheet1!$A$2:$A$4</c:f>
              <c:strCache>
                <c:ptCount val="3"/>
                <c:pt idx="0">
                  <c:v>联合培养</c:v>
                </c:pt>
                <c:pt idx="1">
                  <c:v>企业实训</c:v>
                </c:pt>
                <c:pt idx="2">
                  <c:v>产教结合</c:v>
                </c:pt>
              </c:strCache>
            </c:strRef>
          </c:cat>
          <c:val>
            <c:numRef>
              <c:f>Sheet1!$E$2:$E$4</c:f>
              <c:numCache>
                <c:formatCode>0%</c:formatCode>
                <c:ptCount val="3"/>
                <c:pt idx="0">
                  <c:v>2.0000000000000007E-2</c:v>
                </c:pt>
                <c:pt idx="1">
                  <c:v>3.0000000000000002E-2</c:v>
                </c:pt>
                <c:pt idx="2">
                  <c:v>0.1</c:v>
                </c:pt>
              </c:numCache>
            </c:numRef>
          </c:val>
        </c:ser>
        <c:gapWidth val="219"/>
        <c:overlap val="-27"/>
        <c:axId val="107919232"/>
        <c:axId val="107920768"/>
      </c:barChart>
      <c:catAx>
        <c:axId val="107919232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7920768"/>
        <c:crosses val="autoZero"/>
        <c:auto val="1"/>
        <c:lblAlgn val="ctr"/>
        <c:lblOffset val="100"/>
      </c:catAx>
      <c:valAx>
        <c:axId val="1079207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791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毕业生专业与岗位匹配调查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Val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一致</c:v>
                </c:pt>
                <c:pt idx="1">
                  <c:v>较相关</c:v>
                </c:pt>
                <c:pt idx="2">
                  <c:v>相关</c:v>
                </c:pt>
                <c:pt idx="3">
                  <c:v>不相关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0.27800000000000002</c:v>
                </c:pt>
                <c:pt idx="1">
                  <c:v>0.52</c:v>
                </c:pt>
                <c:pt idx="2">
                  <c:v>0.13</c:v>
                </c:pt>
                <c:pt idx="3">
                  <c:v>7.2000000000000022E-2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毕业生工作满意度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Val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很满意</c:v>
                </c:pt>
                <c:pt idx="1">
                  <c:v>满意</c:v>
                </c:pt>
                <c:pt idx="2">
                  <c:v>一般</c:v>
                </c:pt>
                <c:pt idx="3">
                  <c:v>不满意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0.16400000000000001</c:v>
                </c:pt>
                <c:pt idx="1">
                  <c:v>0.53200000000000003</c:v>
                </c:pt>
                <c:pt idx="2">
                  <c:v>0.24800000000000005</c:v>
                </c:pt>
                <c:pt idx="3">
                  <c:v>5.6000000000000001E-2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毕业生工作转正后资数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Val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2000以下</c:v>
                </c:pt>
                <c:pt idx="1">
                  <c:v>2000-2999</c:v>
                </c:pt>
                <c:pt idx="2">
                  <c:v>3000-3999</c:v>
                </c:pt>
                <c:pt idx="3">
                  <c:v>4000以上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 formatCode="0%">
                  <c:v>7.0000000000000021E-2</c:v>
                </c:pt>
                <c:pt idx="1">
                  <c:v>0.52</c:v>
                </c:pt>
                <c:pt idx="2" formatCode="0%">
                  <c:v>0.28000000000000008</c:v>
                </c:pt>
                <c:pt idx="3">
                  <c:v>0.13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1109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_石家庄城市经济职业学院</dc:title>
  <dc:creator>Administrator</dc:creator>
  <cp:lastModifiedBy>Administrator</cp:lastModifiedBy>
  <cp:revision>58</cp:revision>
  <cp:lastPrinted>2017-12-19T08:40:00Z</cp:lastPrinted>
  <dcterms:created xsi:type="dcterms:W3CDTF">2015-11-26T06:38:00Z</dcterms:created>
  <dcterms:modified xsi:type="dcterms:W3CDTF">2020-04-16T09:12:00Z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