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</w:p>
    <w:p>
      <w:pPr>
        <w:jc w:val="center"/>
        <w:rPr>
          <w:rFonts w:ascii="楷体_GB2312" w:hAnsi="楷体_GB2312" w:eastAsia="楷体_GB2312" w:cs="楷体_GB2312"/>
          <w:b/>
          <w:bCs/>
          <w:sz w:val="48"/>
          <w:szCs w:val="48"/>
        </w:rPr>
      </w:pPr>
    </w:p>
    <w:p>
      <w:pPr>
        <w:jc w:val="center"/>
        <w:rPr>
          <w:rFonts w:ascii="楷体_GB2312" w:hAnsi="楷体_GB2312" w:eastAsia="楷体_GB2312" w:cs="楷体_GB2312"/>
          <w:b/>
          <w:bCs/>
          <w:sz w:val="48"/>
          <w:szCs w:val="48"/>
        </w:rPr>
      </w:pPr>
    </w:p>
    <w:p>
      <w:pPr>
        <w:widowControl/>
        <w:jc w:val="left"/>
        <w:rPr>
          <w:rFonts w:ascii="楷体_GB2312" w:hAnsi="楷体_GB2312" w:eastAsia="楷体_GB2312" w:cs="楷体_GB2312"/>
          <w:b/>
          <w:bCs/>
          <w:sz w:val="48"/>
          <w:szCs w:val="48"/>
        </w:rPr>
      </w:pPr>
      <w:r>
        <w:rPr>
          <w:rFonts w:ascii="楷体_GB2312" w:hAnsi="楷体_GB2312" w:eastAsia="楷体_GB2312" w:cs="楷体_GB2312"/>
          <w:b/>
          <w:bCs/>
          <w:sz w:val="48"/>
          <w:szCs w:val="48"/>
        </w:rPr>
        <w:t xml:space="preserve">  </w:t>
      </w:r>
      <w:r>
        <w:rPr>
          <w:rFonts w:ascii="楷体_GB2312" w:hAnsi="楷体_GB2312" w:eastAsia="楷体_GB2312" w:cs="楷体_GB2312"/>
          <w:b/>
          <w:bCs/>
          <w:sz w:val="48"/>
          <w:szCs w:val="48"/>
        </w:rPr>
        <w:drawing>
          <wp:inline distT="0" distB="0" distL="114300" distR="114300">
            <wp:extent cx="1238250" cy="1266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b/>
          <w:bCs/>
          <w:sz w:val="48"/>
          <w:szCs w:val="48"/>
        </w:rPr>
        <w:t>石家庄城市经济职业学院</w:t>
      </w: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bCs/>
          <w:sz w:val="72"/>
          <w:szCs w:val="72"/>
        </w:rPr>
      </w:pPr>
    </w:p>
    <w:p>
      <w:pPr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ascii="黑体" w:hAnsi="黑体" w:eastAsia="黑体"/>
          <w:b/>
          <w:bCs/>
          <w:sz w:val="52"/>
          <w:szCs w:val="52"/>
        </w:rPr>
        <w:t>201</w:t>
      </w:r>
      <w:r>
        <w:rPr>
          <w:rFonts w:hint="eastAsia" w:ascii="黑体" w:hAnsi="黑体" w:eastAsia="黑体"/>
          <w:b/>
          <w:bCs/>
          <w:sz w:val="52"/>
          <w:szCs w:val="52"/>
          <w:lang w:val="en-US" w:eastAsia="zh-CN"/>
        </w:rPr>
        <w:t>8</w:t>
      </w:r>
      <w:r>
        <w:rPr>
          <w:rFonts w:hint="eastAsia" w:ascii="黑体" w:hAnsi="黑体" w:eastAsia="黑体"/>
          <w:b/>
          <w:bCs/>
          <w:sz w:val="52"/>
          <w:szCs w:val="52"/>
        </w:rPr>
        <w:t>届毕业生就业质量年度报告</w:t>
      </w: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2"/>
          <w:szCs w:val="32"/>
        </w:rPr>
        <w:sectPr>
          <w:headerReference r:id="rId5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/>
          <w:b/>
          <w:bCs/>
          <w:sz w:val="32"/>
          <w:szCs w:val="32"/>
        </w:rPr>
        <w:t>二零一</w:t>
      </w:r>
      <w:r>
        <w:rPr>
          <w:rFonts w:hint="eastAsia"/>
          <w:b/>
          <w:bCs/>
          <w:sz w:val="32"/>
          <w:szCs w:val="32"/>
          <w:lang w:eastAsia="zh-CN"/>
        </w:rPr>
        <w:t>八</w:t>
      </w:r>
      <w:r>
        <w:rPr>
          <w:rFonts w:hint="eastAsia"/>
          <w:b/>
          <w:bCs/>
          <w:sz w:val="32"/>
          <w:szCs w:val="32"/>
        </w:rPr>
        <w:t>年十二月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目</w:t>
      </w:r>
      <w:r>
        <w:rPr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录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第一部分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学校概况…………………………………………</w:t>
      </w:r>
      <w:r>
        <w:rPr>
          <w:b/>
          <w:bCs/>
          <w:sz w:val="32"/>
          <w:szCs w:val="32"/>
        </w:rPr>
        <w:t>1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第二部分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基本情况…………………………………………</w:t>
      </w:r>
      <w:r>
        <w:rPr>
          <w:b/>
          <w:bCs/>
          <w:sz w:val="32"/>
          <w:szCs w:val="32"/>
        </w:rPr>
        <w:t>2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一、毕业生就业总体情况……………………………………</w:t>
      </w:r>
      <w:r>
        <w:rPr>
          <w:sz w:val="30"/>
          <w:szCs w:val="30"/>
        </w:rPr>
        <w:t>2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二、毕业生去向情况…………………………………………</w:t>
      </w:r>
      <w:r>
        <w:rPr>
          <w:sz w:val="30"/>
          <w:szCs w:val="30"/>
        </w:rPr>
        <w:t>2</w:t>
      </w:r>
    </w:p>
    <w:p>
      <w:pPr>
        <w:tabs>
          <w:tab w:val="left" w:pos="584"/>
        </w:tabs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三、毕业生就业流向性质情况………………………………</w:t>
      </w:r>
      <w:r>
        <w:rPr>
          <w:sz w:val="30"/>
          <w:szCs w:val="30"/>
        </w:rPr>
        <w:t>3</w: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四、毕业生就业流向地区情况………………………………</w:t>
      </w:r>
      <w:r>
        <w:rPr>
          <w:sz w:val="30"/>
          <w:szCs w:val="30"/>
        </w:rPr>
        <w:t>3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五、毕业生分学院分专业就业情况…………………………</w:t>
      </w:r>
      <w:r>
        <w:rPr>
          <w:sz w:val="30"/>
          <w:szCs w:val="30"/>
        </w:rPr>
        <w:t>4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第三部分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  <w:lang w:eastAsia="zh-CN"/>
        </w:rPr>
        <w:t>人才培养</w:t>
      </w:r>
      <w:r>
        <w:rPr>
          <w:rFonts w:hint="eastAsia"/>
          <w:b/>
          <w:bCs/>
          <w:sz w:val="32"/>
          <w:szCs w:val="32"/>
        </w:rPr>
        <w:t>工作特点……………………………</w:t>
      </w:r>
      <w:r>
        <w:rPr>
          <w:rFonts w:hint="eastAsia"/>
          <w:b/>
          <w:bCs/>
          <w:sz w:val="32"/>
          <w:szCs w:val="32"/>
          <w:lang w:eastAsia="zh-CN"/>
        </w:rPr>
        <w:t>…</w:t>
      </w:r>
      <w:r>
        <w:rPr>
          <w:b/>
          <w:bCs/>
          <w:sz w:val="32"/>
          <w:szCs w:val="32"/>
        </w:rPr>
        <w:t>5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>
        <w:rPr>
          <w:rFonts w:hint="eastAsia"/>
          <w:sz w:val="30"/>
          <w:szCs w:val="30"/>
          <w:lang w:eastAsia="zh-CN"/>
        </w:rPr>
        <w:t>人才培养过程不断优化………………………………</w:t>
      </w:r>
      <w:r>
        <w:rPr>
          <w:rFonts w:hint="eastAsia"/>
          <w:sz w:val="30"/>
          <w:szCs w:val="30"/>
        </w:rPr>
        <w:t>…</w:t>
      </w:r>
      <w:r>
        <w:rPr>
          <w:sz w:val="30"/>
          <w:szCs w:val="30"/>
        </w:rPr>
        <w:t>5</w:t>
      </w:r>
    </w:p>
    <w:p>
      <w:pPr>
        <w:ind w:firstLine="600" w:firstLineChars="200"/>
        <w:jc w:val="left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二、</w:t>
      </w:r>
      <w:r>
        <w:rPr>
          <w:rFonts w:hint="eastAsia"/>
          <w:sz w:val="30"/>
          <w:szCs w:val="30"/>
          <w:lang w:eastAsia="zh-CN"/>
        </w:rPr>
        <w:t>人才培养质量持续改进</w:t>
      </w:r>
      <w:r>
        <w:rPr>
          <w:rFonts w:hint="eastAsia"/>
          <w:sz w:val="30"/>
          <w:szCs w:val="30"/>
        </w:rPr>
        <w:t>………………</w:t>
      </w:r>
      <w:r>
        <w:rPr>
          <w:rFonts w:hint="eastAsia"/>
          <w:sz w:val="30"/>
          <w:szCs w:val="30"/>
          <w:lang w:eastAsia="zh-CN"/>
        </w:rPr>
        <w:t>…………………</w:t>
      </w:r>
      <w:r>
        <w:rPr>
          <w:rFonts w:hint="eastAsia"/>
          <w:sz w:val="30"/>
          <w:szCs w:val="30"/>
          <w:lang w:val="en-US" w:eastAsia="zh-CN"/>
        </w:rPr>
        <w:t>7</w:t>
      </w:r>
    </w:p>
    <w:p>
      <w:pPr>
        <w:tabs>
          <w:tab w:val="left" w:pos="584"/>
        </w:tabs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三、</w:t>
      </w:r>
      <w:r>
        <w:rPr>
          <w:rFonts w:hint="eastAsia"/>
          <w:sz w:val="30"/>
          <w:szCs w:val="30"/>
          <w:lang w:eastAsia="zh-CN"/>
        </w:rPr>
        <w:t>人才培养的创新尝试与主要举措……</w:t>
      </w:r>
      <w:r>
        <w:rPr>
          <w:rFonts w:hint="eastAsia"/>
          <w:sz w:val="30"/>
          <w:szCs w:val="30"/>
        </w:rPr>
        <w:t>…………………</w:t>
      </w:r>
      <w:r>
        <w:rPr>
          <w:rFonts w:hint="eastAsia"/>
          <w:sz w:val="30"/>
          <w:szCs w:val="30"/>
          <w:lang w:val="en-US" w:eastAsia="zh-CN"/>
        </w:rPr>
        <w:t>7</w:t>
      </w:r>
    </w:p>
    <w:p>
      <w:pPr>
        <w:jc w:val="left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第四部分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就业质量分析…………………………………</w:t>
      </w:r>
      <w:r>
        <w:rPr>
          <w:rFonts w:hint="eastAsia"/>
          <w:b/>
          <w:bCs/>
          <w:sz w:val="32"/>
          <w:szCs w:val="32"/>
          <w:lang w:val="en-US" w:eastAsia="zh-CN"/>
        </w:rPr>
        <w:t>12</w:t>
      </w:r>
    </w:p>
    <w:p>
      <w:pPr>
        <w:ind w:firstLine="600" w:firstLineChars="200"/>
        <w:jc w:val="left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一、用人单位满意度分析…………………………………</w:t>
      </w:r>
      <w:r>
        <w:rPr>
          <w:rFonts w:hint="eastAsia"/>
          <w:sz w:val="30"/>
          <w:szCs w:val="30"/>
          <w:lang w:val="en-US" w:eastAsia="zh-CN"/>
        </w:rPr>
        <w:t>12</w:t>
      </w:r>
    </w:p>
    <w:p>
      <w:pPr>
        <w:ind w:firstLine="600" w:firstLineChars="200"/>
        <w:jc w:val="left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二、毕业生就业状况分析…………………………………</w:t>
      </w:r>
      <w:r>
        <w:rPr>
          <w:rFonts w:hint="eastAsia"/>
          <w:sz w:val="30"/>
          <w:szCs w:val="30"/>
          <w:lang w:val="en-US" w:eastAsia="zh-CN"/>
        </w:rPr>
        <w:t>13</w:t>
      </w:r>
    </w:p>
    <w:p>
      <w:pPr>
        <w:jc w:val="left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第五部分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对招生、教育教学的反馈………………………</w:t>
      </w:r>
      <w:r>
        <w:rPr>
          <w:rFonts w:hint="eastAsia"/>
          <w:b/>
          <w:bCs/>
          <w:sz w:val="32"/>
          <w:szCs w:val="32"/>
          <w:lang w:val="en-US" w:eastAsia="zh-CN"/>
        </w:rPr>
        <w:t>15</w:t>
      </w:r>
    </w:p>
    <w:p>
      <w:pPr>
        <w:ind w:firstLine="600" w:firstLineChars="200"/>
        <w:jc w:val="left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一、结合就业形势，合理制定招生计划…………………</w:t>
      </w:r>
      <w:r>
        <w:rPr>
          <w:rFonts w:hint="eastAsia"/>
          <w:sz w:val="30"/>
          <w:szCs w:val="30"/>
          <w:lang w:val="en-US" w:eastAsia="zh-CN"/>
        </w:rPr>
        <w:t>15</w:t>
      </w:r>
    </w:p>
    <w:p>
      <w:pPr>
        <w:ind w:firstLine="600" w:firstLineChars="200"/>
        <w:jc w:val="left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二、结合就业实际，改革人才培养模式…………………</w:t>
      </w:r>
      <w:r>
        <w:rPr>
          <w:rFonts w:hint="eastAsia"/>
          <w:sz w:val="30"/>
          <w:szCs w:val="30"/>
          <w:lang w:val="en-US" w:eastAsia="zh-CN"/>
        </w:rPr>
        <w:t>15</w:t>
      </w:r>
    </w:p>
    <w:p>
      <w:pPr>
        <w:jc w:val="left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第六部分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结束语……………………………………………</w:t>
      </w:r>
      <w:r>
        <w:rPr>
          <w:rFonts w:hint="eastAsia"/>
          <w:b/>
          <w:bCs/>
          <w:sz w:val="32"/>
          <w:szCs w:val="32"/>
          <w:lang w:val="en-US" w:eastAsia="zh-CN"/>
        </w:rPr>
        <w:t>17</w:t>
      </w:r>
    </w:p>
    <w:p>
      <w:pPr>
        <w:rPr>
          <w:b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第一部分</w:t>
      </w:r>
      <w:r>
        <w:rPr>
          <w:b/>
          <w:bCs/>
          <w:sz w:val="30"/>
          <w:szCs w:val="30"/>
        </w:rPr>
        <w:t xml:space="preserve">   </w:t>
      </w:r>
      <w:r>
        <w:rPr>
          <w:rFonts w:hint="eastAsia"/>
          <w:b/>
          <w:bCs/>
          <w:sz w:val="30"/>
          <w:szCs w:val="30"/>
        </w:rPr>
        <w:t>学校概况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学院成立于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2001年，是河北省首批民办全日制普通高等院校。</w:t>
      </w:r>
      <w:r>
        <w:rPr>
          <w:rFonts w:hint="eastAsia" w:ascii="宋体" w:hAnsi="宋体" w:eastAsia="宋体" w:cs="宋体"/>
          <w:sz w:val="28"/>
          <w:szCs w:val="28"/>
        </w:rPr>
        <w:t>石家庄城市经济职业学院是河北省人民政府批准、教育部备案，纳入国家统一招生计划，具有独立颁发国家承认学历证书资格的全日制普通高等院校。学院秉持市场化思维、国际化视野、特色化发展的办学理念，恪守多元集纳、自强创新的办学精神，弘扬务实、勤勉、行胜于言的校风，是一所理念超前，模式新颖，极具国际化特色的应用型高等学府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院坚持“以服务为宗旨，以就业为导向”的办学方针，遵循以质量为中心、以创新为灵魂、以能力培养为主线的办学原则，坚持产学研结合，实行按岗需求，定向培养和订单教育，致力于培养学生学会学习、学会思考、学会表达的意识和能力，形成了“行业主导式”人才培养模式，受到广大学生、家长的普遍好评和良好赞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0"/>
        </w:tabs>
        <w:spacing w:before="0" w:beforeAutospacing="0" w:after="0" w:afterAutospacing="0" w:line="30" w:lineRule="atLeast"/>
        <w:ind w:left="6" w:leftChars="3" w:right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目前，学校已建成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二级学院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，招生专业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49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个，形成了以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经济专业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为主体，电子信息类、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交通运输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类、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医护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类、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建筑工程类、航空旅游类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为补充的专业格局，适应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京津冀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区域经济社会发展需要。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学院与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00余家用人单位建立了长期的人才供求关系，形成自主、广泛、强大的就业网络。学院还与国内银行、铁路、民航、教育等多家单位签署了联合培养协议。近年来学院毕业生均以“职业化程度高、综合能力素质强”的竞争优势受到用人单位欢迎。</w:t>
      </w:r>
    </w:p>
    <w:p>
      <w:pPr>
        <w:jc w:val="both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第二部分</w:t>
      </w:r>
      <w:r>
        <w:rPr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基本情况</w:t>
      </w:r>
    </w:p>
    <w:p>
      <w:pPr>
        <w:ind w:firstLine="201" w:firstLineChars="200"/>
        <w:jc w:val="center"/>
        <w:rPr>
          <w:b/>
          <w:bCs/>
          <w:sz w:val="10"/>
          <w:szCs w:val="10"/>
        </w:rPr>
      </w:pPr>
    </w:p>
    <w:p>
      <w:pPr>
        <w:ind w:left="420" w:leftChars="20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一、毕业生就业总体情况</w:t>
      </w:r>
    </w:p>
    <w:p>
      <w:pPr>
        <w:jc w:val="left"/>
        <w:rPr>
          <w:sz w:val="24"/>
        </w:rPr>
      </w:pPr>
      <w:r>
        <w:rPr>
          <w:sz w:val="24"/>
        </w:rPr>
        <w:t xml:space="preserve">      </w:t>
      </w:r>
      <w:r>
        <w:rPr>
          <w:rFonts w:hint="eastAsia"/>
          <w:sz w:val="24"/>
        </w:rPr>
        <w:t>表</w:t>
      </w:r>
      <w:r>
        <w:rPr>
          <w:sz w:val="24"/>
        </w:rPr>
        <w:t>1:201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届</w:t>
      </w:r>
      <w:r>
        <w:rPr>
          <w:sz w:val="24"/>
        </w:rPr>
        <w:t>——201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届毕业生就业率情况</w:t>
      </w:r>
    </w:p>
    <w:tbl>
      <w:tblPr>
        <w:tblStyle w:val="6"/>
        <w:tblpPr w:leftFromText="180" w:rightFromText="180" w:vertAnchor="text" w:horzAnchor="page" w:tblpX="1945" w:tblpY="152"/>
        <w:tblOverlap w:val="never"/>
        <w:tblW w:w="7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811"/>
        <w:gridCol w:w="1809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23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届别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毕业人数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就业人数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就业率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23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2018</w:t>
            </w:r>
            <w:r>
              <w:rPr>
                <w:rFonts w:hint="eastAsia"/>
                <w:szCs w:val="21"/>
              </w:rPr>
              <w:t>届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980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665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68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23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2017</w:t>
            </w:r>
            <w:r>
              <w:rPr>
                <w:rFonts w:hint="eastAsia"/>
                <w:szCs w:val="21"/>
              </w:rPr>
              <w:t>届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617</w:t>
            </w:r>
          </w:p>
        </w:tc>
        <w:tc>
          <w:tcPr>
            <w:tcW w:w="1809" w:type="dxa"/>
            <w:vAlign w:val="center"/>
          </w:tcPr>
          <w:p>
            <w:pPr>
              <w:ind w:firstLine="630" w:firstLineChars="300"/>
              <w:rPr>
                <w:szCs w:val="21"/>
              </w:rPr>
            </w:pPr>
            <w:r>
              <w:rPr>
                <w:szCs w:val="21"/>
              </w:rPr>
              <w:t>388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62.88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23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届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330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250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75.76</w:t>
            </w:r>
            <w:r>
              <w:rPr>
                <w:rFonts w:hint="eastAsia"/>
                <w:szCs w:val="21"/>
              </w:rPr>
              <w:t>%</w:t>
            </w:r>
          </w:p>
        </w:tc>
      </w:tr>
    </w:tbl>
    <w:p/>
    <w:p>
      <w:pPr>
        <w:rPr>
          <w:b/>
          <w:bCs/>
          <w:sz w:val="28"/>
          <w:szCs w:val="28"/>
        </w:rPr>
      </w:pPr>
      <w:r>
        <w:t xml:space="preserve"> 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二、毕业生去向情况</w:t>
      </w:r>
    </w:p>
    <w:p>
      <w:pPr>
        <w:rPr>
          <w:b/>
          <w:bCs/>
          <w:sz w:val="28"/>
          <w:szCs w:val="28"/>
        </w:rPr>
      </w:pPr>
      <w:r>
        <w:drawing>
          <wp:inline distT="0" distB="0" distL="0" distR="0">
            <wp:extent cx="5274310" cy="2900680"/>
            <wp:effectExtent l="0" t="0" r="2540" b="13970"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</w:rPr>
      </w:pPr>
    </w:p>
    <w:p>
      <w:pPr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三、</w:t>
      </w:r>
      <w:r>
        <w:rPr>
          <w:rFonts w:hint="eastAsia"/>
          <w:b/>
          <w:bCs/>
          <w:sz w:val="28"/>
          <w:szCs w:val="28"/>
        </w:rPr>
        <w:t>毕业生就业流向性质情况</w:t>
      </w:r>
    </w:p>
    <w:p>
      <w:pPr>
        <w:rPr>
          <w:b/>
          <w:bCs/>
          <w:sz w:val="28"/>
          <w:szCs w:val="28"/>
        </w:rPr>
      </w:pPr>
      <w:r>
        <w:drawing>
          <wp:inline distT="0" distB="0" distL="0" distR="0">
            <wp:extent cx="4953000" cy="3075940"/>
            <wp:effectExtent l="4445" t="4445" r="14605" b="5715"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rPr>
          <w:b/>
          <w:bCs/>
          <w:sz w:val="28"/>
          <w:szCs w:val="28"/>
        </w:rPr>
      </w:pPr>
    </w:p>
    <w:p>
      <w:pPr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四、</w:t>
      </w:r>
      <w:r>
        <w:rPr>
          <w:rFonts w:hint="eastAsia"/>
          <w:b/>
          <w:bCs/>
          <w:sz w:val="28"/>
          <w:szCs w:val="28"/>
        </w:rPr>
        <w:t>毕业生就业流向地区情况</w:t>
      </w:r>
    </w:p>
    <w:p>
      <w:pPr>
        <w:rPr>
          <w:b/>
          <w:bCs/>
          <w:sz w:val="28"/>
          <w:szCs w:val="28"/>
        </w:rPr>
      </w:pPr>
      <w:r>
        <w:drawing>
          <wp:inline distT="0" distB="0" distL="0" distR="0">
            <wp:extent cx="4953000" cy="3362325"/>
            <wp:effectExtent l="4445" t="4445" r="14605" b="5080"/>
            <wp:docPr id="14" name="图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sz w:val="24"/>
        </w:rPr>
      </w:pPr>
      <w:r>
        <w:rPr>
          <w:rFonts w:hint="eastAsia"/>
          <w:b/>
          <w:bCs/>
          <w:sz w:val="28"/>
          <w:szCs w:val="28"/>
        </w:rPr>
        <w:t>五、毕业生分学院分专业就业情况</w:t>
      </w:r>
    </w:p>
    <w:p>
      <w:pPr>
        <w:rPr>
          <w:sz w:val="24"/>
        </w:rPr>
      </w:pPr>
      <w:r>
        <w:rPr>
          <w:sz w:val="24"/>
        </w:rPr>
        <w:t xml:space="preserve">  </w:t>
      </w:r>
    </w:p>
    <w:p>
      <w:pPr>
        <w:rPr>
          <w:sz w:val="24"/>
        </w:rPr>
      </w:pPr>
      <w:r>
        <w:rPr>
          <w:rFonts w:hint="eastAsia"/>
          <w:sz w:val="24"/>
        </w:rPr>
        <w:t>表</w:t>
      </w:r>
      <w:r>
        <w:rPr>
          <w:sz w:val="24"/>
        </w:rPr>
        <w:t>2</w:t>
      </w:r>
      <w:r>
        <w:rPr>
          <w:rFonts w:hint="eastAsia"/>
          <w:sz w:val="24"/>
        </w:rPr>
        <w:t>毕业生各分院就业情况</w:t>
      </w:r>
    </w:p>
    <w:tbl>
      <w:tblPr>
        <w:tblStyle w:val="15"/>
        <w:tblW w:w="7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480"/>
        <w:gridCol w:w="1480"/>
        <w:gridCol w:w="1480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80" w:type="dxa"/>
            <w:tcBorders>
              <w:insideV w:val="nil"/>
            </w:tcBorders>
            <w:shd w:val="clear" w:color="auto" w:fill="4BACC6" w:themeFill="accent5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1480" w:type="dxa"/>
            <w:tcBorders>
              <w:insideV w:val="nil"/>
            </w:tcBorders>
            <w:shd w:val="clear" w:color="auto" w:fill="4BACC6" w:themeFill="accent5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毕业生数</w:t>
            </w:r>
          </w:p>
        </w:tc>
        <w:tc>
          <w:tcPr>
            <w:tcW w:w="1480" w:type="dxa"/>
            <w:tcBorders>
              <w:insideV w:val="nil"/>
            </w:tcBorders>
            <w:shd w:val="clear" w:color="auto" w:fill="4BACC6" w:themeFill="accent5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专接本率</w:t>
            </w:r>
          </w:p>
        </w:tc>
        <w:tc>
          <w:tcPr>
            <w:tcW w:w="1480" w:type="dxa"/>
            <w:tcBorders>
              <w:insideV w:val="nil"/>
            </w:tcBorders>
            <w:shd w:val="clear" w:color="auto" w:fill="4BACC6" w:themeFill="accent5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就业率</w:t>
            </w:r>
          </w:p>
        </w:tc>
        <w:tc>
          <w:tcPr>
            <w:tcW w:w="1480" w:type="dxa"/>
            <w:tcBorders>
              <w:insideV w:val="nil"/>
            </w:tcBorders>
            <w:shd w:val="clear" w:color="auto" w:fill="4BACC6" w:themeFill="accent5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未就业率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80" w:type="dxa"/>
            <w:shd w:val="clear" w:color="auto" w:fill="4BACC6" w:themeFill="accent5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医护院</w:t>
            </w:r>
          </w:p>
        </w:tc>
        <w:tc>
          <w:tcPr>
            <w:tcW w:w="1480" w:type="dxa"/>
            <w:shd w:val="clear" w:color="auto" w:fill="B6DDE8" w:themeFill="accent5" w:themeFillTint="66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480" w:type="dxa"/>
            <w:shd w:val="clear" w:color="auto" w:fill="B6DDE8" w:themeFill="accent5" w:themeFillTint="66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1.15%</w:t>
            </w:r>
          </w:p>
        </w:tc>
        <w:tc>
          <w:tcPr>
            <w:tcW w:w="1480" w:type="dxa"/>
            <w:shd w:val="clear" w:color="auto" w:fill="B6DDE8" w:themeFill="accent5" w:themeFillTint="66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79.23%</w:t>
            </w:r>
          </w:p>
        </w:tc>
        <w:tc>
          <w:tcPr>
            <w:tcW w:w="1480" w:type="dxa"/>
            <w:shd w:val="clear" w:color="auto" w:fill="B6DDE8" w:themeFill="accent5" w:themeFillTint="66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80" w:type="dxa"/>
            <w:shd w:val="clear" w:color="auto" w:fill="4BACC6" w:themeFill="accent5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工程学院</w:t>
            </w:r>
          </w:p>
        </w:tc>
        <w:tc>
          <w:tcPr>
            <w:tcW w:w="1480" w:type="dxa"/>
            <w:shd w:val="clear" w:color="auto" w:fill="DAEEF3" w:themeFill="accent5" w:themeFillTint="33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1480" w:type="dxa"/>
            <w:shd w:val="clear" w:color="auto" w:fill="DAEEF3" w:themeFill="accent5" w:themeFillTint="33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5.49%</w:t>
            </w:r>
          </w:p>
        </w:tc>
        <w:tc>
          <w:tcPr>
            <w:tcW w:w="1480" w:type="dxa"/>
            <w:shd w:val="clear" w:color="auto" w:fill="DAEEF3" w:themeFill="accent5" w:themeFillTint="33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75.30%</w:t>
            </w:r>
          </w:p>
        </w:tc>
        <w:tc>
          <w:tcPr>
            <w:tcW w:w="1480" w:type="dxa"/>
            <w:shd w:val="clear" w:color="auto" w:fill="DAEEF3" w:themeFill="accent5" w:themeFillTint="33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80" w:type="dxa"/>
            <w:shd w:val="clear" w:color="auto" w:fill="4BACC6" w:themeFill="accent5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1480" w:type="dxa"/>
            <w:shd w:val="clear" w:color="auto" w:fill="B6DDE8" w:themeFill="accent5" w:themeFillTint="66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1480" w:type="dxa"/>
            <w:shd w:val="clear" w:color="auto" w:fill="B6DDE8" w:themeFill="accent5" w:themeFillTint="66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2.04%</w:t>
            </w:r>
          </w:p>
        </w:tc>
        <w:tc>
          <w:tcPr>
            <w:tcW w:w="1480" w:type="dxa"/>
            <w:shd w:val="clear" w:color="auto" w:fill="B6DDE8" w:themeFill="accent5" w:themeFillTint="66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39.29%</w:t>
            </w:r>
          </w:p>
        </w:tc>
        <w:tc>
          <w:tcPr>
            <w:tcW w:w="1480" w:type="dxa"/>
            <w:shd w:val="clear" w:color="auto" w:fill="B6DDE8" w:themeFill="accent5" w:themeFillTint="66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58.67%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80" w:type="dxa"/>
            <w:shd w:val="clear" w:color="auto" w:fill="4BACC6" w:themeFill="accent5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480" w:type="dxa"/>
            <w:shd w:val="clear" w:color="auto" w:fill="DAEEF3" w:themeFill="accent5" w:themeFillTint="33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980</w:t>
            </w:r>
          </w:p>
        </w:tc>
        <w:tc>
          <w:tcPr>
            <w:tcW w:w="1480" w:type="dxa"/>
            <w:shd w:val="clear" w:color="auto" w:fill="DAEEF3" w:themeFill="accent5" w:themeFillTint="33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2.96%</w:t>
            </w:r>
          </w:p>
        </w:tc>
        <w:tc>
          <w:tcPr>
            <w:tcW w:w="1480" w:type="dxa"/>
            <w:shd w:val="clear" w:color="auto" w:fill="DAEEF3" w:themeFill="accent5" w:themeFillTint="33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61.94%</w:t>
            </w:r>
          </w:p>
        </w:tc>
        <w:tc>
          <w:tcPr>
            <w:tcW w:w="1480" w:type="dxa"/>
            <w:shd w:val="clear" w:color="auto" w:fill="DAEEF3" w:themeFill="accent5" w:themeFillTint="33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35.10%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sz w:val="24"/>
        </w:rPr>
        <w:t>3</w:t>
      </w:r>
      <w:r>
        <w:rPr>
          <w:rFonts w:hint="eastAsia"/>
          <w:sz w:val="24"/>
        </w:rPr>
        <w:t>毕业生各专业就业情况</w:t>
      </w:r>
    </w:p>
    <w:tbl>
      <w:tblPr>
        <w:tblStyle w:val="16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660"/>
        <w:gridCol w:w="1480"/>
        <w:gridCol w:w="1480"/>
        <w:gridCol w:w="1480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insideV w:val="nil"/>
            </w:tcBorders>
            <w:shd w:val="clear" w:color="auto" w:fill="9BBB59" w:themeFill="accent3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2660" w:type="dxa"/>
            <w:tcBorders>
              <w:insideV w:val="nil"/>
            </w:tcBorders>
            <w:shd w:val="clear" w:color="auto" w:fill="9BBB59" w:themeFill="accent3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480" w:type="dxa"/>
            <w:tcBorders>
              <w:insideV w:val="nil"/>
            </w:tcBorders>
            <w:shd w:val="clear" w:color="auto" w:fill="9BBB59" w:themeFill="accent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毕业生数</w:t>
            </w:r>
          </w:p>
        </w:tc>
        <w:tc>
          <w:tcPr>
            <w:tcW w:w="1480" w:type="dxa"/>
            <w:tcBorders>
              <w:insideV w:val="nil"/>
            </w:tcBorders>
            <w:shd w:val="clear" w:color="auto" w:fill="9BBB59" w:themeFill="accent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专接本率</w:t>
            </w:r>
          </w:p>
        </w:tc>
        <w:tc>
          <w:tcPr>
            <w:tcW w:w="1480" w:type="dxa"/>
            <w:tcBorders>
              <w:insideV w:val="nil"/>
            </w:tcBorders>
            <w:shd w:val="clear" w:color="auto" w:fill="9BBB59" w:themeFill="accent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就业率</w:t>
            </w:r>
          </w:p>
        </w:tc>
        <w:tc>
          <w:tcPr>
            <w:tcW w:w="1480" w:type="dxa"/>
            <w:tcBorders>
              <w:insideV w:val="nil"/>
            </w:tcBorders>
            <w:shd w:val="clear" w:color="auto" w:fill="9BBB59" w:themeFill="accent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未就业率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restart"/>
            <w:shd w:val="clear" w:color="auto" w:fill="9BBB59" w:themeFill="accent3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工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程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学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院</w:t>
            </w:r>
          </w:p>
        </w:tc>
        <w:tc>
          <w:tcPr>
            <w:tcW w:w="2660" w:type="dxa"/>
            <w:shd w:val="clear" w:color="auto" w:fill="D6E3BC" w:themeFill="accent3" w:themeFillTint="66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动漫设计与制作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13.33%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86.67%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shd w:val="clear" w:color="auto" w:fill="9BBB59" w:themeFill="accent3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EAF1DD" w:themeFill="accent3" w:themeFillTint="33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工程监理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shd w:val="clear" w:color="auto" w:fill="9BBB59" w:themeFill="accent3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D6E3BC" w:themeFill="accent3" w:themeFillTint="66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2.86%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77.14%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shd w:val="clear" w:color="auto" w:fill="9BBB59" w:themeFill="accent3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EAF1DD" w:themeFill="accent3" w:themeFillTint="33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15.00%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75.00%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shd w:val="clear" w:color="auto" w:fill="9BBB59" w:themeFill="accent3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D6E3BC" w:themeFill="accent3" w:themeFillTint="66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计算机信息管理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0.00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shd w:val="clear" w:color="auto" w:fill="9BBB59" w:themeFill="accent3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EAF1DD" w:themeFill="accent3" w:themeFillTint="33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物联网技术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5.00%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57.50%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shd w:val="clear" w:color="auto" w:fill="9BBB59" w:themeFill="accent3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D6E3BC" w:themeFill="accent3" w:themeFillTint="66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城市轨道交通运营与管理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5.85%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79.53%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shd w:val="clear" w:color="auto" w:fill="9BBB59" w:themeFill="accent3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EAF1DD" w:themeFill="accent3" w:themeFillTint="33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建筑工程技术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86.67%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shd w:val="clear" w:color="auto" w:fill="9BBB59" w:themeFill="accent3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D6E3BC" w:themeFill="accent3" w:themeFillTint="66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机电一体化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72.41%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27.59%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shd w:val="clear" w:color="auto" w:fill="9BBB59" w:themeFill="accent3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EAF1DD" w:themeFill="accent3" w:themeFillTint="33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软件技术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restart"/>
            <w:shd w:val="clear" w:color="auto" w:fill="9BBB59" w:themeFill="accent3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医护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660" w:type="dxa"/>
            <w:shd w:val="clear" w:color="auto" w:fill="D6E3BC" w:themeFill="accent3" w:themeFillTint="66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94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44.03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55.03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shd w:val="clear" w:color="auto" w:fill="9BBB59" w:themeFill="accent3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EAF1DD" w:themeFill="accent3" w:themeFillTint="33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医学影像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89.19%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restart"/>
            <w:shd w:val="clear" w:color="auto" w:fill="9BBB59" w:themeFill="accent3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商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学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院</w:t>
            </w:r>
          </w:p>
        </w:tc>
        <w:tc>
          <w:tcPr>
            <w:tcW w:w="2660" w:type="dxa"/>
            <w:shd w:val="clear" w:color="auto" w:fill="D6E3BC" w:themeFill="accent3" w:themeFillTint="66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81.25%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shd w:val="clear" w:color="auto" w:fill="9BBB59" w:themeFill="accent3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EAF1DD" w:themeFill="accent3" w:themeFillTint="33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国际经济与贸易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shd w:val="clear" w:color="auto" w:fill="9BBB59" w:themeFill="accent3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D6E3BC" w:themeFill="accent3" w:themeFillTint="66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航空服务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60.71%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39.29%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shd w:val="clear" w:color="auto" w:fill="9BBB59" w:themeFill="accent3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EAF1DD" w:themeFill="accent3" w:themeFillTint="33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3.42%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80.34%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shd w:val="clear" w:color="auto" w:fill="9BBB59" w:themeFill="accent3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D6E3BC" w:themeFill="accent3" w:themeFillTint="66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金融管理与实务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shd w:val="clear" w:color="auto" w:fill="9BBB59" w:themeFill="accent3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EAF1DD" w:themeFill="accent3" w:themeFillTint="33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酒店管理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shd w:val="clear" w:color="auto" w:fill="9BBB59" w:themeFill="accent3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D6E3BC" w:themeFill="accent3" w:themeFillTint="66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连锁经营管理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shd w:val="clear" w:color="auto" w:fill="9BBB59" w:themeFill="accent3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EAF1DD" w:themeFill="accent3" w:themeFillTint="33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人力资源管理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1.47%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22.06%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76.47%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shd w:val="clear" w:color="auto" w:fill="9BBB59" w:themeFill="accent3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D6E3BC" w:themeFill="accent3" w:themeFillTint="66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66.67%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shd w:val="clear" w:color="auto" w:fill="9BBB59" w:themeFill="accent3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EAF1DD" w:themeFill="accent3" w:themeFillTint="33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50.00%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shd w:val="clear" w:color="auto" w:fill="9BBB59" w:themeFill="accent3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D6E3BC" w:themeFill="accent3" w:themeFillTint="66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84.62%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shd w:val="clear" w:color="auto" w:fill="9BBB59" w:themeFill="accent3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EAF1DD" w:themeFill="accent3" w:themeFillTint="33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影视编导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16.67%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shd w:val="clear" w:color="auto" w:fill="9BBB59" w:themeFill="accent3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D6E3BC" w:themeFill="accent3" w:themeFillTint="66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金融与证券 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480" w:type="dxa"/>
            <w:shd w:val="clear" w:color="auto" w:fill="D6E3BC" w:themeFill="accent3" w:themeFillTint="66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vMerge w:val="continue"/>
            <w:shd w:val="clear" w:color="auto" w:fill="9BBB59" w:themeFill="accent3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EAF1DD" w:themeFill="accent3" w:themeFillTint="33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会计与审计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shd w:val="clear" w:color="auto" w:fill="9BBB59" w:themeFill="accent3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总计</w:t>
            </w:r>
          </w:p>
        </w:tc>
        <w:tc>
          <w:tcPr>
            <w:tcW w:w="2660" w:type="dxa"/>
            <w:shd w:val="clear" w:color="auto" w:fill="EAF1DD" w:themeFill="accent3" w:themeFillTint="33"/>
            <w:noWrap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EAF1DD" w:themeFill="accent3" w:themeFillTint="33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980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2.96%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61.94%</w:t>
            </w:r>
          </w:p>
        </w:tc>
        <w:tc>
          <w:tcPr>
            <w:tcW w:w="1480" w:type="dxa"/>
            <w:shd w:val="clear" w:color="auto" w:fill="EAF1DD" w:themeFill="accent3" w:themeFillTint="33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35.10%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第三部分</w:t>
      </w:r>
      <w:r>
        <w:rPr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  <w:lang w:eastAsia="zh-CN"/>
        </w:rPr>
        <w:t>人才培养</w:t>
      </w:r>
      <w:r>
        <w:rPr>
          <w:rFonts w:hint="eastAsia"/>
          <w:b/>
          <w:bCs/>
          <w:sz w:val="30"/>
          <w:szCs w:val="30"/>
        </w:rPr>
        <w:t>工作特点</w:t>
      </w:r>
    </w:p>
    <w:p>
      <w:pPr>
        <w:rPr>
          <w:rFonts w:ascii="宋体" w:cs="宋体"/>
          <w:b/>
          <w:bCs/>
          <w:sz w:val="28"/>
          <w:szCs w:val="28"/>
        </w:rPr>
      </w:pPr>
    </w:p>
    <w:p>
      <w:pPr>
        <w:numPr>
          <w:ilvl w:val="0"/>
          <w:numId w:val="1"/>
        </w:numPr>
        <w:ind w:left="562" w:leftChars="0" w:firstLine="0" w:firstLineChars="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人才培养过程不断优化</w:t>
      </w:r>
      <w:r>
        <w:rPr>
          <w:rFonts w:hint="eastAsia" w:ascii="宋体" w:hAnsi="宋体" w:cs="宋体"/>
          <w:b/>
          <w:bCs/>
          <w:sz w:val="28"/>
          <w:szCs w:val="28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1.教学资源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学校建有功能齐全的校园网络，师生可以利用网络获取优质教学资源。学校加大教学资源建设力度，先后建设了精品课程资源库、教师教育资源库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2．课程实施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  学校坚持以能力为本位，以应用为主旨，构建工学结合的课程体系。依据《专业教育课程标准》，实施了教师教育课程改革，修订了人才培养方案，对原有的教师教育课程体系进行整合、调整，建立起公共课、学科方向专业课、教师教育专业课、专业拓展课和教育实践五大模块构成的教师教育课程体系。以“必需、够用”为准则精选教学内容，使实践课程的比重达到50%以上，教育见实习与顶岗实习总时间达到1学期。非教师教育专业课程结构为公共基础课、专业基础课、专业课、专业选修课程、综合实践等五类课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.实践教学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学校对接职业岗位需求，与用人单位密切协作，完善人才培养方案和课程教学大纲，强化实践教学环节，构建了“双轮驱动、三系保障、五位一体”的全程实践教学课程体系。认真研制各专业的实践教学大纲，实践教学学时占总学时比例达到50%以上，校外见实习、顶岗实习时间累积超过半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学校重视实训教学，积极探索“产学结合、工学一体”教学模式，取得良好教学效果。例如酒店管理专业技能实训，学校主动和市两家大酒店及凯悦集团合作，聘请酒店经理授课，把实训课搬到酒店，为学生的实习实训提供了优越环境。商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语、国际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贸易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两专业，在新建商务模拟实训室的基础上，主动联系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北京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天乐贸易有限公司外贸人员来校给学生进行跨境电商培训，对接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北京、石家庄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、浙江等地外贸企业，建立长期稳定的顶岗实习基地。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. 学生服务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学校通过奖、贷、助、补、免、勤等多项举措奖助学生，激励学生学习成才。2015-201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年，发放各类奖助学金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13.8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万元，提供的勤工俭学岗位包括公共教室28个、图书馆30余个、学校食堂20余个，同时为10余名特困生办理了学费减免。 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学校重视大学生心理健康教育，健全学生人格。制定了《学校心理健康教育暂行办法》，建立心理健康教育三级三线网络体系，即心理咨询室—心理咨询师—大学生，各系—辅导员—心理委员，学生会—心理安全部—心雨协会。校心理咨询室，制定心理辅导计划，多名心理咨询师轮流值班，进行心理咨询与辅导，开展心理健康教育讲座。学校开设心理健康教育课，指导大学生的心理自我调控。在每个班级设立心理委员，及时了解异常学生动态，发现问题及时报告。全面开展新生心里普测，广泛开展大学生心理拓展训练、专题心理讲座、团队心理辅导等活动，培养大学生积极乐观的人生态度和健全人格。</w:t>
      </w:r>
    </w:p>
    <w:p>
      <w:pPr>
        <w:numPr>
          <w:ilvl w:val="0"/>
          <w:numId w:val="0"/>
        </w:numPr>
        <w:ind w:left="562" w:leftChars="0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left="420" w:leftChars="200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人才培养质量持续改进</w:t>
      </w:r>
      <w:r>
        <w:rPr>
          <w:rFonts w:hint="eastAsia" w:ascii="宋体" w:hAnsi="宋体" w:cs="宋体"/>
          <w:b/>
          <w:bCs/>
          <w:sz w:val="28"/>
          <w:szCs w:val="28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．毕业生升学就业情况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  我校201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届毕业生初次就业总体情况良好，就业范围广，主要就业在省内的学校、基层行政、省内国有企业和非公有制企业。与此同时，毕业生就业向其他各省市延展，学校招就办人员在了解毕业生择业的意向后，不辞辛劳，奔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北京、天津、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长三角、珠三角等地的七个市进行联系，来校参加双选会的单位有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7家，就业岗位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600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多个，举办就业培训会2场，就业宣讲会2场，各类招聘会5场，201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年，毕业生“双证”持有率达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2%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并且为了增加我校毕业生的信心，校招就处向毕业生承诺不满意可以再次推荐。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．社会服务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学校坚持“以服务求支持，以贡献谋发展”方针，在人才培养、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教育教学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、社会服务、文化传承与创新四个方面卓有成绩，为地方经济社会文化发展做出了应有贡献。201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以来，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学校坚持“以服务求支持，以贡献谋发展”方针，在人才培养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、教育教学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、社会服务、文化传承与创新四个方面卓有成绩，为地方经济社会文化发展做出了应有贡献。</w:t>
      </w:r>
    </w:p>
    <w:p>
      <w:pPr>
        <w:ind w:left="420" w:leftChars="200"/>
        <w:rPr>
          <w:rFonts w:ascii="宋体" w:hAnsi="宋体" w:cs="宋体"/>
          <w:b/>
          <w:bCs/>
          <w:sz w:val="28"/>
          <w:szCs w:val="28"/>
        </w:rPr>
      </w:pPr>
    </w:p>
    <w:p>
      <w:pPr>
        <w:ind w:left="420" w:leftChars="200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三、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人才培养的创新尝试与主要举措</w:t>
      </w:r>
      <w:r>
        <w:rPr>
          <w:rFonts w:hint="eastAsia" w:ascii="宋体" w:hAnsi="宋体" w:cs="宋体"/>
          <w:b/>
          <w:bCs/>
          <w:sz w:val="28"/>
          <w:szCs w:val="28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1．完善大学内部治理结构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学校先后成立了教学工作委员会、教学督导室，完善了校内部治理结构，为提高教育教学质量提供了组织保障。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2015年8月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以来，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在省教育厅的重视和关怀下，配备和健全了我校党政领导班子，规范了学校管理职能，真正实行了党委负责、校长治校、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专家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治学的学校管理新常态。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自学院更名以来，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为促进学校转型发展，学校决定调整系部设置和专业归属，对系部的名称进行变更，以专业大类的名称命名系部名称。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将原有的系部和专业进行重新划分，成立了工程学院、国际商学院、旅游航空学院、医护学院等八个二级学院，促进了教育教学的改革。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校党委高度重视学校意识形态工作，201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年11月出台了《党委(党组）意识形态工作责任制实施办法》，程序明晰，目标具体，责任明确，确保了党组织在我校的战斗堡垒作用，确保了党在高校意识形态领域的指导地位。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2.积极开展大学生思想政治教育工作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校党委将大学生思想政治教育工作作为重要议题，出台了《关于加强和改进发展学生党员工作的若干意见》、《关于进一步加强和改进大学生思想政治教育的实施意见》，成立思政教研室，研究思想政治教育的形势与任务，持续实施“青年马克思主义者”培养工程，积极发展学生党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除此，各系开展了“雷锋月”、“爱国卫生月”、“心理健康月”、“诚信与微笑月”、“消防宣传月”、“红色十月”、“感恩”等主题活动，通过这些形式多样、内容丰富的思想教育活动，引导学生快乐学习、健康成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3.不断推进实践育人体系建设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积极深化与校企的合作，初步形成了方案共订、课标共研、过程共管、学业共评、教师互派、成果共享的合作机制。采用创新“理实一体化”等人才培养模式，注重掌握基础性、实用性和时代性相统一的专业基础知识，追求职业的事实导向与价值导向的统一，着力培养职业道德修养、职业技能提高、针对性地灵活采用多种教学手段和方法，以任务驱动带动自主学习与合作研究性学习，有计划地渗透“一专多能”教育。学校注重提高现有教学仪器设备的使用效率和实验实训课开出率，提高实验实训课教学效果；重点建设相对稳定的校外实习、实训基地，充分开展实践教学。目前已初步建立起融学生基本实践能力、专业技术应用能力和综合实践能力培养相结合的实践教学体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学校强化学生实践教学，优化实践课程设计、增加实践教学比重，通过大学生假期社会实践活动、校内实践和形式多样的学生专业见习、实习，提升实践育人效果。对实习生实行“双导师”制，即每个实习生都由一名本校教师和一名实习点教师负责指导，使实习具有针对性、系统性、实效性，实习生的出色表现赢得了实习学校的高度评价。另外实行自主实习返校测评制度，有效保证了自主实习学生的实习效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 4.精心策划专业技能竞赛活动。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  为丰富校园文化生活，营造浓厚的校园文化氛围，提高我校学生专业技能素质，选拔专业技能过硬的优秀人才，给学生提供展示自我、不断进步的舞台。另外还开展颇具校园特色的品牌大型活动，如主持人风采大赛、校园十佳歌手大赛、青春美大赛、校园文化艺术节等。学生通过专业技能大赛及各项活动丰富了课余生活、展现了自己的才艺、提高了综合素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5. 高度重视复合型师资队伍建设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学校在政策上激励教师参与专业关联度高的企业锻炼，积极转变师资建设策略，打造复合型教师队伍。具体表现为以下四点：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第一，通过考核和评比选拔出教学效果突出、素质优良且具备一定组织和管理能力的教师担任专业带头人，带动整个专业的师资队伍发展。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第二，学校有组织地安排校本培训和教学研讨会。聘请校内外有经验的优秀教师进行集中培训。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第三，学校鼓励教师接受继续教育培训，考取各类职业证书，进行学历深造等。2016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-2018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年学校安排专项资金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万元，用于“双师型”教师队伍培训，共有16人参加培训，校级双师资格41人，占专任教师总数的21%。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6．积极探索学生学业评价与考试制度改革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随着新人才培养方案的制定实施，学校各专业根据课程的定位和性质确定课程考核方式，严抓考纪考风建设，不断尝试“综合+技能”的考试改革，重点突出对学生技能和职业核心能力的考核。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，各系不断落实“理论考试综合化、技能考试常态化”的理念，在实践类课程考试中推进以实践能力为导向的考试改革，号召全体学生端正考试态度，杜绝考试作弊，营造公平公正的竞争环境。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7．重视职业生涯规划指导与学生就业创业能力培养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学校将《大学生职业生涯规划与就业指导》课程纳入专业教学计划，对毕业生进行职业生涯规划和择业观念教育，引导毕业生树立竞争意识和立志创业、服务基层的观念。通过举办模拟人才洽谈会来增强学生的市场意识和就业信心。</w:t>
      </w:r>
    </w:p>
    <w:p>
      <w:pPr>
        <w:ind w:left="420" w:leftChars="200"/>
        <w:rPr>
          <w:rFonts w:ascii="宋体" w:hAnsi="宋体" w:cs="宋体"/>
          <w:b/>
          <w:bCs/>
          <w:sz w:val="28"/>
          <w:szCs w:val="28"/>
        </w:rPr>
      </w:pPr>
    </w:p>
    <w:p>
      <w:pPr>
        <w:ind w:firstLine="562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>
      <w:pPr>
        <w:ind w:firstLine="560" w:firstLineChars="200"/>
        <w:rPr>
          <w:rFonts w:ascii="宋体" w:cs="宋体"/>
          <w:sz w:val="28"/>
          <w:szCs w:val="28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第四部分</w:t>
      </w:r>
      <w:r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就业质量分析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一、用人单位满意度分析</w:t>
      </w:r>
    </w:p>
    <w:p>
      <w:pPr>
        <w:numPr>
          <w:ilvl w:val="0"/>
          <w:numId w:val="2"/>
        </w:numPr>
        <w:jc w:val="left"/>
        <w:rPr>
          <w:sz w:val="24"/>
        </w:rPr>
      </w:pPr>
      <w:r>
        <w:rPr>
          <w:rFonts w:hint="eastAsia"/>
          <w:sz w:val="24"/>
        </w:rPr>
        <w:t>用人单位对毕业生的总体满意度</w:t>
      </w:r>
    </w:p>
    <w:p>
      <w:pPr>
        <w:jc w:val="left"/>
        <w:rPr>
          <w:sz w:val="24"/>
        </w:rPr>
      </w:pPr>
      <w:r>
        <w:drawing>
          <wp:inline distT="0" distB="0" distL="0" distR="0">
            <wp:extent cx="3803650" cy="2120900"/>
            <wp:effectExtent l="0" t="0" r="6350" b="12700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数据显示，用人单位普遍认可我学院学生，在职业能力、职业素质、专业素养等方面给予了较高的评价。</w:t>
      </w:r>
    </w:p>
    <w:p>
      <w:pPr>
        <w:jc w:val="left"/>
        <w:rPr>
          <w:sz w:val="24"/>
        </w:rPr>
      </w:pPr>
    </w:p>
    <w:p>
      <w:pPr>
        <w:pStyle w:val="12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用人单位对校企合作的评价</w:t>
      </w:r>
    </w:p>
    <w:p>
      <w:pPr>
        <w:pStyle w:val="12"/>
        <w:ind w:left="420" w:firstLine="0" w:firstLineChars="0"/>
        <w:jc w:val="left"/>
        <w:rPr>
          <w:sz w:val="24"/>
        </w:rPr>
      </w:pPr>
      <w:r>
        <w:drawing>
          <wp:inline distT="0" distB="0" distL="0" distR="0">
            <wp:extent cx="4572000" cy="2743200"/>
            <wp:effectExtent l="0" t="0" r="0" b="0"/>
            <wp:docPr id="13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jc w:val="left"/>
        <w:rPr>
          <w:sz w:val="24"/>
        </w:rPr>
      </w:pPr>
      <w:r>
        <w:rPr>
          <w:sz w:val="24"/>
        </w:rPr>
        <w:t xml:space="preserve">     </w:t>
      </w:r>
      <w:r>
        <w:rPr>
          <w:rFonts w:hint="eastAsia"/>
          <w:sz w:val="24"/>
        </w:rPr>
        <w:t>数据显示，用人单位对我学院联合培养给予了较高评价。</w:t>
      </w:r>
    </w:p>
    <w:p>
      <w:pPr>
        <w:jc w:val="left"/>
        <w:rPr>
          <w:sz w:val="24"/>
        </w:rPr>
      </w:pPr>
    </w:p>
    <w:p>
      <w:pPr>
        <w:jc w:val="left"/>
        <w:rPr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</w:p>
    <w:p>
      <w:pPr>
        <w:numPr>
          <w:ilvl w:val="0"/>
          <w:numId w:val="3"/>
        </w:num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毕业生就业状况分析</w:t>
      </w:r>
    </w:p>
    <w:p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毕业生专业与岗位匹配调查</w:t>
      </w:r>
    </w:p>
    <w:p>
      <w:pPr>
        <w:jc w:val="left"/>
      </w:pPr>
      <w:r>
        <w:drawing>
          <wp:inline distT="0" distB="0" distL="0" distR="0">
            <wp:extent cx="4843780" cy="2967990"/>
            <wp:effectExtent l="5080" t="4445" r="8890" b="18415"/>
            <wp:docPr id="15" name="图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numPr>
          <w:ilvl w:val="0"/>
          <w:numId w:val="4"/>
        </w:numPr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毕业生在求职过程中满意度调查</w:t>
      </w:r>
    </w:p>
    <w:p>
      <w:pPr>
        <w:jc w:val="left"/>
      </w:pPr>
      <w:r>
        <w:drawing>
          <wp:inline distT="0" distB="0" distL="0" distR="0">
            <wp:extent cx="4885690" cy="3311525"/>
            <wp:effectExtent l="4445" t="4445" r="5715" b="17780"/>
            <wp:docPr id="16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jc w:val="left"/>
      </w:pPr>
      <w:r>
        <w:drawing>
          <wp:inline distT="0" distB="0" distL="0" distR="0">
            <wp:extent cx="4619625" cy="3323590"/>
            <wp:effectExtent l="4445" t="4445" r="5080" b="5715"/>
            <wp:docPr id="17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ind w:firstLine="560" w:firstLineChars="20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数据显示，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40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cs="宋体"/>
          <w:sz w:val="28"/>
          <w:szCs w:val="28"/>
        </w:rPr>
        <w:t>的毕业生转正后工资收入超过</w:t>
      </w:r>
      <w:r>
        <w:rPr>
          <w:rFonts w:ascii="宋体" w:hAnsi="宋体" w:cs="宋体"/>
          <w:sz w:val="28"/>
          <w:szCs w:val="28"/>
        </w:rPr>
        <w:t>3000</w:t>
      </w:r>
      <w:r>
        <w:rPr>
          <w:rFonts w:hint="eastAsia" w:ascii="宋体" w:hAnsi="宋体" w:cs="宋体"/>
          <w:sz w:val="28"/>
          <w:szCs w:val="28"/>
        </w:rPr>
        <w:t>元，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73.30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cs="宋体"/>
          <w:sz w:val="28"/>
          <w:szCs w:val="28"/>
        </w:rPr>
        <w:t>的毕业生对签订的工作比较满意。</w:t>
      </w: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第五部分</w:t>
      </w:r>
      <w:r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对招生、教育教学的反馈</w:t>
      </w:r>
    </w:p>
    <w:p>
      <w:pPr>
        <w:ind w:firstLine="562" w:firstLineChars="200"/>
        <w:rPr>
          <w:b/>
          <w:bCs/>
          <w:sz w:val="28"/>
          <w:szCs w:val="28"/>
        </w:rPr>
      </w:pP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一、结合就业形势，合理制定招生计划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在招生计划的调整与编制过程中，学校充分考虑到各专业的就业情况并依此作为重要依据。具体从以下三点进行参考：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一是根据人才市场需求，办学条件，专业发展等因素制定学校招生专业计划；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是依据教务处提出的专业设置需求，综合考虑各专业对口就业市场的地域分布，各省高考报名人数等因素，在参考往年分省招生计划的基础上，按照“优化专业分配，结构相对稳定”的方法，编制招生来源计划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是根据专业就业情况，对招生专业进行了适当调整，如学校对小语种等就业率较低的专业压缩招生数量，新开设了护理、医学影像技术、城市轨道交通等新专业，使得我校在人才培养上基本形成“入口旺、出口畅，培养质量有保障”的良好态势。</w:t>
      </w:r>
    </w:p>
    <w:p>
      <w:pPr>
        <w:numPr>
          <w:ilvl w:val="0"/>
          <w:numId w:val="5"/>
        </w:num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结合就业实际，改革人才培养模式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firstLine="280" w:firstLineChars="10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楷体_GB2312"/>
          <w:sz w:val="28"/>
          <w:szCs w:val="28"/>
        </w:rPr>
        <w:t>（一）加强与用人单位的沟通，做好市场人才预测研究</w:t>
      </w:r>
      <w:r>
        <w:rPr>
          <w:rFonts w:ascii="宋体" w:hAnsi="宋体" w:cs="Times New Roman"/>
          <w:sz w:val="28"/>
          <w:szCs w:val="28"/>
        </w:rPr>
        <w:t xml:space="preserve">  </w:t>
      </w:r>
    </w:p>
    <w:p>
      <w:pPr>
        <w:spacing w:line="360" w:lineRule="auto"/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专业设置、教学计划的制定、教学课程和内容的确立、校企合作实习基地的建设等，不仅要考虑学科知识体系，更要着眼于大学生成长和用人单位的需求。因此，要进一步加强与用人单位的沟通，做好市场人才预测研究，确保学校人才培养和社会人才需要相吻合。</w:t>
      </w:r>
    </w:p>
    <w:p>
      <w:pPr>
        <w:spacing w:line="360" w:lineRule="auto"/>
        <w:rPr>
          <w:rFonts w:ascii="宋体" w:cs="楷体_GB2312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 xml:space="preserve">   </w:t>
      </w:r>
      <w:r>
        <w:rPr>
          <w:rFonts w:hint="eastAsia" w:ascii="宋体" w:hAnsi="宋体" w:cs="楷体_GB2312"/>
          <w:sz w:val="28"/>
          <w:szCs w:val="28"/>
        </w:rPr>
        <w:t>（二）加强实践教学，以能力为核心，着力提升学生适应社会的能力</w:t>
      </w:r>
    </w:p>
    <w:p>
      <w:pPr>
        <w:spacing w:line="360" w:lineRule="auto"/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我校各专业在人才培养过程中，要科学、合理地设计实践教学，注重教学效果，当前要特别重视学生未来职业成长中所需要的各种能力的培养，如外语能力、计算机应用能力、创新创造能力、团队协作能力、学习能力等，提高毕业生的就业竞争力。</w:t>
      </w:r>
    </w:p>
    <w:p>
      <w:pPr>
        <w:spacing w:line="360" w:lineRule="auto"/>
        <w:rPr>
          <w:rFonts w:ascii="宋体" w:cs="楷体_GB2312"/>
          <w:sz w:val="28"/>
          <w:szCs w:val="28"/>
        </w:rPr>
      </w:pPr>
      <w:r>
        <w:rPr>
          <w:rFonts w:ascii="宋体" w:hAnsi="宋体" w:cs="楷体_GB2312"/>
          <w:sz w:val="28"/>
          <w:szCs w:val="28"/>
        </w:rPr>
        <w:t xml:space="preserve">   </w:t>
      </w:r>
      <w:r>
        <w:rPr>
          <w:rFonts w:hint="eastAsia" w:ascii="宋体" w:hAnsi="宋体" w:cs="楷体_GB2312"/>
          <w:sz w:val="28"/>
          <w:szCs w:val="28"/>
        </w:rPr>
        <w:t>（三）加强就业指导，帮助广大学生树立科学的就业观</w:t>
      </w:r>
    </w:p>
    <w:p>
      <w:pPr>
        <w:spacing w:line="360" w:lineRule="auto"/>
        <w:rPr>
          <w:rFonts w:asci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 xml:space="preserve">    </w:t>
      </w:r>
      <w:r>
        <w:rPr>
          <w:rFonts w:hint="eastAsia" w:ascii="宋体" w:hAnsi="宋体" w:cs="Times New Roman"/>
          <w:sz w:val="28"/>
          <w:szCs w:val="28"/>
        </w:rPr>
        <w:t>要在学生中及早地开展职业生涯教育，让学生充分了解自己和职业世界，培养学生职业生涯设计的能力；在毕业生中，要加强求职常识和技能的教育，为广大毕业生向社会职业人转变和发展奠定良好的基础。要大力培养学生的专业意识，要敢于创新开拓，敢于打破常规，鼓励学生联合就业、自谋职业、自主创业等。</w:t>
      </w:r>
      <w:r>
        <w:rPr>
          <w:rFonts w:ascii="宋体" w:hAnsi="宋体" w:cs="Times New Roman"/>
          <w:sz w:val="28"/>
          <w:szCs w:val="28"/>
        </w:rPr>
        <w:t xml:space="preserve">   </w:t>
      </w:r>
    </w:p>
    <w:p>
      <w:pPr>
        <w:spacing w:line="360" w:lineRule="auto"/>
        <w:rPr>
          <w:rFonts w:ascii="宋体" w:cs="楷体_GB2312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 xml:space="preserve">  </w:t>
      </w:r>
      <w:r>
        <w:rPr>
          <w:rFonts w:ascii="宋体" w:hAnsi="宋体" w:cs="楷体_GB2312"/>
          <w:sz w:val="28"/>
          <w:szCs w:val="28"/>
        </w:rPr>
        <w:t xml:space="preserve"> </w:t>
      </w:r>
      <w:r>
        <w:rPr>
          <w:rFonts w:hint="eastAsia" w:ascii="宋体" w:hAnsi="宋体" w:cs="楷体_GB2312"/>
          <w:sz w:val="28"/>
          <w:szCs w:val="28"/>
        </w:rPr>
        <w:t>（四）校企合作办学有利于职业教育进入市场</w:t>
      </w:r>
    </w:p>
    <w:p>
      <w:pPr>
        <w:spacing w:line="360" w:lineRule="auto"/>
        <w:rPr>
          <w:rFonts w:asci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 xml:space="preserve">    </w:t>
      </w:r>
      <w:r>
        <w:rPr>
          <w:rFonts w:hint="eastAsia" w:ascii="宋体" w:hAnsi="宋体" w:cs="Times New Roman"/>
          <w:sz w:val="28"/>
          <w:szCs w:val="28"/>
        </w:rPr>
        <w:t>职业技术教育进入市场，首先是进入人才市场，这就要求我们自觉地运用价值规律研究市场对人才的需求，不仅培养的数量要相适应，而且专业结构还要相适应。但人才培养的周期和对人才需求的即时性又存在着矛盾，人才的大量储备滞销往往会带来严重的后果。鉴于这些原因，校企合作办学的优势便显示出来，即不仅能更好地培养人才，而且使职业教育在人才培养对路的前提下，等于毕业生提前在市场上找到就业门路。因此，校企合作办学有利于学生就业安置，有利于职业教育进入市场。</w:t>
      </w:r>
    </w:p>
    <w:p>
      <w:pPr>
        <w:ind w:firstLine="560" w:firstLineChars="200"/>
        <w:rPr>
          <w:rFonts w:ascii="宋体"/>
          <w:sz w:val="28"/>
          <w:szCs w:val="28"/>
        </w:rPr>
      </w:pPr>
    </w:p>
    <w:p>
      <w:pPr>
        <w:ind w:firstLine="560" w:firstLineChars="200"/>
        <w:rPr>
          <w:b/>
          <w:bCs/>
          <w:sz w:val="30"/>
          <w:szCs w:val="30"/>
        </w:rPr>
      </w:pPr>
      <w:r>
        <w:rPr>
          <w:sz w:val="28"/>
          <w:szCs w:val="28"/>
        </w:rPr>
        <w:t xml:space="preserve">                    </w:t>
      </w:r>
      <w:r>
        <w:rPr>
          <w:b/>
          <w:bCs/>
          <w:sz w:val="30"/>
          <w:szCs w:val="30"/>
        </w:rPr>
        <w:t xml:space="preserve"> </w:t>
      </w:r>
    </w:p>
    <w:p>
      <w:pPr>
        <w:rPr>
          <w:b/>
          <w:bCs/>
          <w:sz w:val="30"/>
          <w:szCs w:val="30"/>
        </w:rPr>
      </w:pPr>
    </w:p>
    <w:p>
      <w:pPr>
        <w:ind w:firstLine="602" w:firstLineChars="2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结束语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大学生就业就是高校人才培养的末端环节，是培养质量的直接反映，是衡量一个学校办学质量和办学水平的重要指标，既关系着毕业生的切身利益，也关系着学校的长远发展。面对新的形势和任务，我们深知任务艰巨，责任重大。今后，我们将认真贯彻落实国家相关政策，加强领导管理，狠抓落实，开拓奋进，迎难而上，积极探索符合我学院毕业生实际的、具有教师教育特色的、科学发展的大学生就业新途径，推动毕业生就业工作再上新的台阶！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石家庄城市经济职业学院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</w:p>
    <w:p>
      <w:pPr>
        <w:jc w:val="left"/>
        <w:rPr>
          <w:sz w:val="30"/>
          <w:szCs w:val="30"/>
        </w:rPr>
      </w:pP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CHYqOC5AQAAVQ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11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ascii="楷体_GB2312" w:hAnsi="楷体_GB2312" w:eastAsia="楷体_GB2312" w:cs="楷体_GB2312"/>
        <w:b/>
        <w:bCs/>
        <w:sz w:val="28"/>
        <w:szCs w:val="28"/>
      </w:rPr>
    </w:pPr>
  </w:p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Fonts w:ascii="楷体_GB2312" w:hAnsi="楷体_GB2312" w:eastAsia="楷体_GB2312" w:cs="楷体_GB2312"/>
        <w:b/>
        <w:bCs/>
        <w:sz w:val="28"/>
        <w:szCs w:val="28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Fonts w:ascii="楷体_GB2312" w:hAnsi="楷体_GB2312" w:eastAsia="楷体_GB2312" w:cs="楷体_GB2312"/>
        <w:b/>
        <w:bCs/>
        <w:sz w:val="48"/>
        <w:szCs w:val="48"/>
      </w:rPr>
      <w:drawing>
        <wp:inline distT="0" distB="0" distL="114300" distR="114300">
          <wp:extent cx="523875" cy="381000"/>
          <wp:effectExtent l="0" t="0" r="9525" b="0"/>
          <wp:docPr id="2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875" cy="381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_GB2312" w:hAnsi="楷体_GB2312" w:eastAsia="楷体_GB2312" w:cs="楷体_GB2312"/>
        <w:b/>
        <w:bCs/>
        <w:sz w:val="24"/>
      </w:rPr>
      <w:t>石家庄城市经济职业学院</w:t>
    </w:r>
    <w:r>
      <w:rPr>
        <w:rFonts w:ascii="楷体_GB2312" w:hAnsi="楷体_GB2312" w:eastAsia="楷体_GB2312" w:cs="楷体_GB2312"/>
        <w:b/>
        <w:bCs/>
        <w:sz w:val="24"/>
      </w:rPr>
      <w:t xml:space="preserve">          201</w:t>
    </w:r>
    <w:r>
      <w:rPr>
        <w:rFonts w:hint="eastAsia" w:ascii="楷体_GB2312" w:hAnsi="楷体_GB2312" w:eastAsia="楷体_GB2312" w:cs="楷体_GB2312"/>
        <w:b/>
        <w:bCs/>
        <w:sz w:val="24"/>
        <w:lang w:val="en-US" w:eastAsia="zh-CN"/>
      </w:rPr>
      <w:t>8</w:t>
    </w:r>
    <w:r>
      <w:rPr>
        <w:rFonts w:hint="eastAsia" w:ascii="楷体_GB2312" w:hAnsi="楷体_GB2312" w:eastAsia="楷体_GB2312" w:cs="楷体_GB2312"/>
        <w:b/>
        <w:bCs/>
        <w:sz w:val="24"/>
      </w:rPr>
      <w:t>届毕业生就业质量年度报告</w:t>
    </w:r>
    <w:r>
      <w:rPr>
        <w:rFonts w:ascii="楷体_GB2312" w:hAnsi="楷体_GB2312" w:eastAsia="楷体_GB2312" w:cs="楷体_GB2312"/>
        <w:b/>
        <w:bCs/>
        <w:sz w:val="28"/>
        <w:szCs w:val="28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63630"/>
    <w:multiLevelType w:val="singleLevel"/>
    <w:tmpl w:val="90363630"/>
    <w:lvl w:ilvl="0" w:tentative="0">
      <w:start w:val="1"/>
      <w:numFmt w:val="chineseCounting"/>
      <w:suff w:val="nothing"/>
      <w:lvlText w:val="%1、"/>
      <w:lvlJc w:val="left"/>
      <w:pPr>
        <w:ind w:left="562" w:leftChars="0" w:firstLine="0" w:firstLineChars="0"/>
      </w:pPr>
      <w:rPr>
        <w:rFonts w:hint="eastAsia"/>
      </w:rPr>
    </w:lvl>
  </w:abstractNum>
  <w:abstractNum w:abstractNumId="1">
    <w:nsid w:val="56692303"/>
    <w:multiLevelType w:val="singleLevel"/>
    <w:tmpl w:val="56692303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56692A5E"/>
    <w:multiLevelType w:val="singleLevel"/>
    <w:tmpl w:val="56692A5E"/>
    <w:lvl w:ilvl="0" w:tentative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6692A96"/>
    <w:multiLevelType w:val="singleLevel"/>
    <w:tmpl w:val="56692A96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566E847D"/>
    <w:multiLevelType w:val="singleLevel"/>
    <w:tmpl w:val="566E847D"/>
    <w:lvl w:ilvl="0" w:tentative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565ED"/>
    <w:rsid w:val="000244E2"/>
    <w:rsid w:val="00091489"/>
    <w:rsid w:val="00135726"/>
    <w:rsid w:val="00151DD9"/>
    <w:rsid w:val="00171281"/>
    <w:rsid w:val="00196D92"/>
    <w:rsid w:val="001E4B04"/>
    <w:rsid w:val="00271107"/>
    <w:rsid w:val="002746D8"/>
    <w:rsid w:val="00332C15"/>
    <w:rsid w:val="00337F08"/>
    <w:rsid w:val="003507E0"/>
    <w:rsid w:val="00362E36"/>
    <w:rsid w:val="00370426"/>
    <w:rsid w:val="003C41AD"/>
    <w:rsid w:val="003D7740"/>
    <w:rsid w:val="003F62D8"/>
    <w:rsid w:val="004B6279"/>
    <w:rsid w:val="004D5FCB"/>
    <w:rsid w:val="004E3B37"/>
    <w:rsid w:val="005377AF"/>
    <w:rsid w:val="005C7BC8"/>
    <w:rsid w:val="005E67E9"/>
    <w:rsid w:val="00601409"/>
    <w:rsid w:val="00601D8C"/>
    <w:rsid w:val="00642D81"/>
    <w:rsid w:val="006603C0"/>
    <w:rsid w:val="00684D1F"/>
    <w:rsid w:val="006937B9"/>
    <w:rsid w:val="006B4419"/>
    <w:rsid w:val="006F4445"/>
    <w:rsid w:val="006F7C79"/>
    <w:rsid w:val="007261AD"/>
    <w:rsid w:val="00727DB2"/>
    <w:rsid w:val="00734916"/>
    <w:rsid w:val="007A26C6"/>
    <w:rsid w:val="007D0FB0"/>
    <w:rsid w:val="007D696A"/>
    <w:rsid w:val="007F2BAE"/>
    <w:rsid w:val="007F6D70"/>
    <w:rsid w:val="00804360"/>
    <w:rsid w:val="00811AC3"/>
    <w:rsid w:val="00824C01"/>
    <w:rsid w:val="008526FB"/>
    <w:rsid w:val="00897072"/>
    <w:rsid w:val="008E1344"/>
    <w:rsid w:val="00911512"/>
    <w:rsid w:val="009B46A9"/>
    <w:rsid w:val="009C4709"/>
    <w:rsid w:val="009C53E0"/>
    <w:rsid w:val="009E2F6D"/>
    <w:rsid w:val="009F620F"/>
    <w:rsid w:val="00A53ADC"/>
    <w:rsid w:val="00A552E5"/>
    <w:rsid w:val="00A61753"/>
    <w:rsid w:val="00AB250A"/>
    <w:rsid w:val="00AE30AD"/>
    <w:rsid w:val="00AE39EC"/>
    <w:rsid w:val="00B33E9C"/>
    <w:rsid w:val="00B60E32"/>
    <w:rsid w:val="00B7436E"/>
    <w:rsid w:val="00BA15B2"/>
    <w:rsid w:val="00BB6262"/>
    <w:rsid w:val="00BC4B80"/>
    <w:rsid w:val="00BD0392"/>
    <w:rsid w:val="00C07F0D"/>
    <w:rsid w:val="00C639BC"/>
    <w:rsid w:val="00C81397"/>
    <w:rsid w:val="00CC262C"/>
    <w:rsid w:val="00D45FEE"/>
    <w:rsid w:val="00D54430"/>
    <w:rsid w:val="00D55E6C"/>
    <w:rsid w:val="00DD780B"/>
    <w:rsid w:val="00DF0793"/>
    <w:rsid w:val="00E44A57"/>
    <w:rsid w:val="00EB01F9"/>
    <w:rsid w:val="00EB688E"/>
    <w:rsid w:val="00F14F42"/>
    <w:rsid w:val="00F35CD2"/>
    <w:rsid w:val="00F52212"/>
    <w:rsid w:val="00F577EC"/>
    <w:rsid w:val="00FB2F8B"/>
    <w:rsid w:val="00FC35E3"/>
    <w:rsid w:val="00FE38F2"/>
    <w:rsid w:val="01FB23CB"/>
    <w:rsid w:val="02235B0E"/>
    <w:rsid w:val="028F64C2"/>
    <w:rsid w:val="038D2B62"/>
    <w:rsid w:val="03CF7D8E"/>
    <w:rsid w:val="03EB50FA"/>
    <w:rsid w:val="03F66D0E"/>
    <w:rsid w:val="043A3F7F"/>
    <w:rsid w:val="04906F0D"/>
    <w:rsid w:val="050E5C28"/>
    <w:rsid w:val="05D10F75"/>
    <w:rsid w:val="062D7C32"/>
    <w:rsid w:val="07250EAC"/>
    <w:rsid w:val="08945E23"/>
    <w:rsid w:val="09C94B9B"/>
    <w:rsid w:val="09FE75F3"/>
    <w:rsid w:val="0A52707D"/>
    <w:rsid w:val="0A9642EF"/>
    <w:rsid w:val="0B0C24A9"/>
    <w:rsid w:val="0BBC084E"/>
    <w:rsid w:val="0BC45C5A"/>
    <w:rsid w:val="0C3D5924"/>
    <w:rsid w:val="0C9C46EF"/>
    <w:rsid w:val="0E3869E3"/>
    <w:rsid w:val="0E5C7E9D"/>
    <w:rsid w:val="0E642D2B"/>
    <w:rsid w:val="0EB3632D"/>
    <w:rsid w:val="0EE67E01"/>
    <w:rsid w:val="0F0A34B9"/>
    <w:rsid w:val="109B03CC"/>
    <w:rsid w:val="10D820B6"/>
    <w:rsid w:val="112B649C"/>
    <w:rsid w:val="11697B20"/>
    <w:rsid w:val="11751E73"/>
    <w:rsid w:val="11C101AE"/>
    <w:rsid w:val="12FB4A33"/>
    <w:rsid w:val="13021E3F"/>
    <w:rsid w:val="14200F92"/>
    <w:rsid w:val="14AB30F5"/>
    <w:rsid w:val="14AD1E7B"/>
    <w:rsid w:val="15242DBE"/>
    <w:rsid w:val="156670AB"/>
    <w:rsid w:val="16DB3480"/>
    <w:rsid w:val="18794983"/>
    <w:rsid w:val="19584A22"/>
    <w:rsid w:val="196D1144"/>
    <w:rsid w:val="1A626951"/>
    <w:rsid w:val="1AD541BF"/>
    <w:rsid w:val="1ADE3924"/>
    <w:rsid w:val="1B764D9C"/>
    <w:rsid w:val="1DE13B91"/>
    <w:rsid w:val="1E1E7279"/>
    <w:rsid w:val="1E6D287C"/>
    <w:rsid w:val="1EFB5963"/>
    <w:rsid w:val="1F0772D7"/>
    <w:rsid w:val="1F264229"/>
    <w:rsid w:val="1F5C4703"/>
    <w:rsid w:val="1F7268A6"/>
    <w:rsid w:val="2056239C"/>
    <w:rsid w:val="21862A8E"/>
    <w:rsid w:val="223B12B8"/>
    <w:rsid w:val="226A6584"/>
    <w:rsid w:val="22EC10DB"/>
    <w:rsid w:val="2361109A"/>
    <w:rsid w:val="23F43ED1"/>
    <w:rsid w:val="245D5A49"/>
    <w:rsid w:val="247321DC"/>
    <w:rsid w:val="24FF7851"/>
    <w:rsid w:val="26A84832"/>
    <w:rsid w:val="26E563DD"/>
    <w:rsid w:val="26E92BE5"/>
    <w:rsid w:val="26F07FF2"/>
    <w:rsid w:val="27112725"/>
    <w:rsid w:val="27CA1ED3"/>
    <w:rsid w:val="27DD3D28"/>
    <w:rsid w:val="28233866"/>
    <w:rsid w:val="2A6D37AC"/>
    <w:rsid w:val="2AD72D2C"/>
    <w:rsid w:val="2B102FB5"/>
    <w:rsid w:val="2B320F6B"/>
    <w:rsid w:val="2B683643"/>
    <w:rsid w:val="2CE079AD"/>
    <w:rsid w:val="2D41674C"/>
    <w:rsid w:val="2D703A18"/>
    <w:rsid w:val="2E953B7B"/>
    <w:rsid w:val="2EE650A4"/>
    <w:rsid w:val="2F152910"/>
    <w:rsid w:val="2F226C62"/>
    <w:rsid w:val="2F386C07"/>
    <w:rsid w:val="2F6376CB"/>
    <w:rsid w:val="2FCD70FB"/>
    <w:rsid w:val="306814F8"/>
    <w:rsid w:val="307A3AD1"/>
    <w:rsid w:val="31715D61"/>
    <w:rsid w:val="31B859A2"/>
    <w:rsid w:val="31CA113F"/>
    <w:rsid w:val="33D72119"/>
    <w:rsid w:val="347A51A5"/>
    <w:rsid w:val="34D15BB4"/>
    <w:rsid w:val="34F23B6A"/>
    <w:rsid w:val="35B516AA"/>
    <w:rsid w:val="36584736"/>
    <w:rsid w:val="36AF5145"/>
    <w:rsid w:val="36C41867"/>
    <w:rsid w:val="36FB77C2"/>
    <w:rsid w:val="37A80BE0"/>
    <w:rsid w:val="382B20B3"/>
    <w:rsid w:val="39F21A1E"/>
    <w:rsid w:val="3A2940F7"/>
    <w:rsid w:val="3A6E73B7"/>
    <w:rsid w:val="3AF834CA"/>
    <w:rsid w:val="3B4217DC"/>
    <w:rsid w:val="3BDA7340"/>
    <w:rsid w:val="3C94676F"/>
    <w:rsid w:val="3F2732FF"/>
    <w:rsid w:val="3FE62C32"/>
    <w:rsid w:val="408234E1"/>
    <w:rsid w:val="40C50AD3"/>
    <w:rsid w:val="416822BE"/>
    <w:rsid w:val="42161379"/>
    <w:rsid w:val="426D1D88"/>
    <w:rsid w:val="43056A83"/>
    <w:rsid w:val="447434B1"/>
    <w:rsid w:val="44E12E4C"/>
    <w:rsid w:val="45913BE2"/>
    <w:rsid w:val="4597133B"/>
    <w:rsid w:val="45BB0276"/>
    <w:rsid w:val="47472D3E"/>
    <w:rsid w:val="477914D1"/>
    <w:rsid w:val="47F00216"/>
    <w:rsid w:val="47F565ED"/>
    <w:rsid w:val="480A7341"/>
    <w:rsid w:val="48516FB5"/>
    <w:rsid w:val="487D684F"/>
    <w:rsid w:val="494C6E4D"/>
    <w:rsid w:val="49C35B92"/>
    <w:rsid w:val="4A6F152E"/>
    <w:rsid w:val="4A7843BC"/>
    <w:rsid w:val="4B52459A"/>
    <w:rsid w:val="4BCB5F67"/>
    <w:rsid w:val="4C5948D2"/>
    <w:rsid w:val="4C674FDB"/>
    <w:rsid w:val="4D9145CE"/>
    <w:rsid w:val="4DEE5476"/>
    <w:rsid w:val="4EE10A78"/>
    <w:rsid w:val="4F1B40D5"/>
    <w:rsid w:val="4FE83829"/>
    <w:rsid w:val="50294293"/>
    <w:rsid w:val="50804CA1"/>
    <w:rsid w:val="50816EA0"/>
    <w:rsid w:val="5097277E"/>
    <w:rsid w:val="517A073C"/>
    <w:rsid w:val="525B7A2A"/>
    <w:rsid w:val="537517FC"/>
    <w:rsid w:val="54267F9B"/>
    <w:rsid w:val="54AF247D"/>
    <w:rsid w:val="55B84EAE"/>
    <w:rsid w:val="566540CD"/>
    <w:rsid w:val="56C440E6"/>
    <w:rsid w:val="57271C0D"/>
    <w:rsid w:val="57ED4E4E"/>
    <w:rsid w:val="58560FFA"/>
    <w:rsid w:val="58B357FC"/>
    <w:rsid w:val="58D81D40"/>
    <w:rsid w:val="58E65065"/>
    <w:rsid w:val="58F133F6"/>
    <w:rsid w:val="59946483"/>
    <w:rsid w:val="59C90D10"/>
    <w:rsid w:val="5AA233D8"/>
    <w:rsid w:val="5ACF2987"/>
    <w:rsid w:val="5AD86B1A"/>
    <w:rsid w:val="5B2D07A3"/>
    <w:rsid w:val="5B4516CD"/>
    <w:rsid w:val="5CC52791"/>
    <w:rsid w:val="5CD16885"/>
    <w:rsid w:val="5DFC0941"/>
    <w:rsid w:val="5EF665DA"/>
    <w:rsid w:val="5F6E1C51"/>
    <w:rsid w:val="5F7858AF"/>
    <w:rsid w:val="5FAB1581"/>
    <w:rsid w:val="60923DFD"/>
    <w:rsid w:val="615573BE"/>
    <w:rsid w:val="61775374"/>
    <w:rsid w:val="62C26618"/>
    <w:rsid w:val="646E2E54"/>
    <w:rsid w:val="65D07218"/>
    <w:rsid w:val="66277C26"/>
    <w:rsid w:val="675A6D1E"/>
    <w:rsid w:val="68D73C8C"/>
    <w:rsid w:val="69382A2C"/>
    <w:rsid w:val="695967E4"/>
    <w:rsid w:val="6A48066B"/>
    <w:rsid w:val="6A9E6E7B"/>
    <w:rsid w:val="6BB84CA0"/>
    <w:rsid w:val="6C37119B"/>
    <w:rsid w:val="6C5164C2"/>
    <w:rsid w:val="6D8C29C6"/>
    <w:rsid w:val="6DD901F2"/>
    <w:rsid w:val="6EC16365"/>
    <w:rsid w:val="6EE70B54"/>
    <w:rsid w:val="6FEB702D"/>
    <w:rsid w:val="700C7562"/>
    <w:rsid w:val="705F184D"/>
    <w:rsid w:val="715D5C0A"/>
    <w:rsid w:val="71C92D3B"/>
    <w:rsid w:val="724A7E11"/>
    <w:rsid w:val="72E57491"/>
    <w:rsid w:val="736A2763"/>
    <w:rsid w:val="73707BF4"/>
    <w:rsid w:val="74491AD5"/>
    <w:rsid w:val="758C33E6"/>
    <w:rsid w:val="759E28D8"/>
    <w:rsid w:val="763273F7"/>
    <w:rsid w:val="765C3ABF"/>
    <w:rsid w:val="76EA48CE"/>
    <w:rsid w:val="76FF0128"/>
    <w:rsid w:val="773D2DAD"/>
    <w:rsid w:val="77B763E9"/>
    <w:rsid w:val="78C5192F"/>
    <w:rsid w:val="78CF7CC0"/>
    <w:rsid w:val="79096BA0"/>
    <w:rsid w:val="79753CD1"/>
    <w:rsid w:val="7ABB1DEA"/>
    <w:rsid w:val="7B1366A0"/>
    <w:rsid w:val="7B683207"/>
    <w:rsid w:val="7C4D082D"/>
    <w:rsid w:val="7C540886"/>
    <w:rsid w:val="7E0A24D6"/>
    <w:rsid w:val="7E566D52"/>
    <w:rsid w:val="7E6B3474"/>
    <w:rsid w:val="7EA11750"/>
    <w:rsid w:val="7F567F7A"/>
    <w:rsid w:val="7FB1158D"/>
    <w:rsid w:val="7FC63AB1"/>
    <w:rsid w:val="7FE31A3B"/>
    <w:rsid w:val="7FF5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脚 字符"/>
    <w:basedOn w:val="5"/>
    <w:link w:val="2"/>
    <w:qFormat/>
    <w:locked/>
    <w:uiPriority w:val="99"/>
    <w:rPr>
      <w:rFonts w:ascii="Calibri" w:hAnsi="Calibri" w:cs="Times New Roman"/>
      <w:sz w:val="18"/>
    </w:rPr>
  </w:style>
  <w:style w:type="character" w:customStyle="1" w:styleId="9">
    <w:name w:val="页眉 字符"/>
    <w:basedOn w:val="5"/>
    <w:link w:val="3"/>
    <w:semiHidden/>
    <w:qFormat/>
    <w:locked/>
    <w:uiPriority w:val="99"/>
    <w:rPr>
      <w:rFonts w:ascii="Calibri" w:hAnsi="Calibri" w:cs="Times New Roman"/>
      <w:sz w:val="18"/>
    </w:rPr>
  </w:style>
  <w:style w:type="table" w:customStyle="1" w:styleId="10">
    <w:name w:val="Grid Table Light"/>
    <w:basedOn w:val="6"/>
    <w:qFormat/>
    <w:uiPriority w:val="40"/>
    <w:tblPr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12" w:space="0"/>
        <w:insideV w:val="single" w:color="auto" w:sz="12" w:space="0"/>
      </w:tblBorders>
      <w:tblLayout w:type="fixed"/>
    </w:tblPr>
  </w:style>
  <w:style w:type="table" w:customStyle="1" w:styleId="11">
    <w:name w:val="Plain Table 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table" w:customStyle="1" w:styleId="13">
    <w:name w:val="Grid Table 4 Accent 4"/>
    <w:basedOn w:val="6"/>
    <w:qFormat/>
    <w:uiPriority w:val="49"/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14">
    <w:name w:val="Grid Table 4 Accent 6"/>
    <w:basedOn w:val="6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15">
    <w:name w:val="Grid Table 5 Dark Accent 5"/>
    <w:basedOn w:val="6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B6DDE8" w:themeFill="accent5" w:themeFillTint="66"/>
      </w:tcPr>
    </w:tblStylePr>
  </w:style>
  <w:style w:type="table" w:customStyle="1" w:styleId="16">
    <w:name w:val="Grid Table 5 Dark Accent 3"/>
    <w:basedOn w:val="6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D6E3BC" w:themeFill="accent3" w:themeFillTint="66"/>
      </w:tcPr>
    </w:tblStylePr>
  </w:style>
  <w:style w:type="table" w:customStyle="1" w:styleId="17">
    <w:name w:val="Grid Table 5 Dark Accent 4"/>
    <w:basedOn w:val="6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CCC0D9" w:themeFill="accent4" w:themeFillTint="66"/>
      </w:tcPr>
    </w:tblStylePr>
  </w:style>
  <w:style w:type="table" w:customStyle="1" w:styleId="18">
    <w:name w:val="Grid Table 5 Dark Accent 6"/>
    <w:basedOn w:val="6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D4B4" w:themeFill="accent6" w:themeFillTint="66"/>
      </w:tcPr>
    </w:tblStylePr>
  </w:style>
  <w:style w:type="table" w:customStyle="1" w:styleId="19">
    <w:name w:val="Grid Table 6 Colorful Accent 3"/>
    <w:basedOn w:val="6"/>
    <w:qFormat/>
    <w:uiPriority w:val="51"/>
    <w:rPr>
      <w:color w:val="77933C" w:themeColor="accent3" w:themeShade="BF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Layout w:type="fixed"/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chart" Target="charts/chart8.xml"/><Relationship Id="rId17" Type="http://schemas.openxmlformats.org/officeDocument/2006/relationships/chart" Target="charts/chart7.xml"/><Relationship Id="rId16" Type="http://schemas.openxmlformats.org/officeDocument/2006/relationships/chart" Target="charts/chart6.xml"/><Relationship Id="rId15" Type="http://schemas.openxmlformats.org/officeDocument/2006/relationships/chart" Target="charts/chart5.xml"/><Relationship Id="rId14" Type="http://schemas.openxmlformats.org/officeDocument/2006/relationships/chart" Target="charts/chart4.xml"/><Relationship Id="rId13" Type="http://schemas.openxmlformats.org/officeDocument/2006/relationships/chart" Target="charts/chart3.xml"/><Relationship Id="rId12" Type="http://schemas.openxmlformats.org/officeDocument/2006/relationships/chart" Target="charts/chart2.xml"/><Relationship Id="rId11" Type="http://schemas.openxmlformats.org/officeDocument/2006/relationships/chart" Target="charts/chart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lenovo\Desktop\&#26032;&#24314;%20Microsoft%20Excel%20&#24037;&#20316;&#34920;%20(2)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lenovo\Desktop\&#26032;&#24314;%20Microsoft%20Excel%20&#24037;&#20316;&#34920;%20(2)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lenovo\Desktop\&#26032;&#24314;%20Microsoft%20Excel%20&#24037;&#20316;&#34920;%20(2)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lenovo\Desktop\&#26032;&#24314;%20Microsoft%20Excel%20&#24037;&#20316;&#34920;%20(2)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lenovo\Desktop\&#26032;&#24314;%20Microsoft%20Excel%20&#24037;&#20316;&#34920;%20(2)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lenovo\Desktop\&#26032;&#24314;%20Microsoft%20Excel%20&#24037;&#20316;&#34920;%20(2)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lenovo\Desktop\&#26032;&#24314;%20Microsoft%20Excel%20&#24037;&#20316;&#34920;%20(2)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lenovo\Desktop\&#26032;&#24314;%20Microsoft%20Excel%20&#24037;&#20316;&#34920;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2016</a:t>
            </a:r>
            <a:r>
              <a:rPr lang="zh-CN" altLang="en-US"/>
              <a:t>届</a:t>
            </a:r>
            <a:r>
              <a:rPr lang="en-US" altLang="zh-CN"/>
              <a:t>--2018</a:t>
            </a:r>
            <a:r>
              <a:rPr lang="zh-CN" altLang="en-US"/>
              <a:t>届毕业生去向情况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Sheet1!$I$13</c:f>
              <c:strCache>
                <c:ptCount val="1"/>
                <c:pt idx="0">
                  <c:v>就业率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Sheet1!$H$14:$H$16</c:f>
              <c:strCache>
                <c:ptCount val="3"/>
                <c:pt idx="0">
                  <c:v>2016届</c:v>
                </c:pt>
                <c:pt idx="1">
                  <c:v>2017届</c:v>
                </c:pt>
                <c:pt idx="2">
                  <c:v>2018届</c:v>
                </c:pt>
              </c:strCache>
            </c:strRef>
          </c:cat>
          <c:val>
            <c:numRef>
              <c:f>Sheet1!$I$14:$I$16</c:f>
              <c:numCache>
                <c:formatCode>0.00%</c:formatCode>
                <c:ptCount val="3"/>
                <c:pt idx="0">
                  <c:v>0.7576</c:v>
                </c:pt>
                <c:pt idx="1">
                  <c:v>0.6288</c:v>
                </c:pt>
                <c:pt idx="2" c:formatCode="0%">
                  <c:v>0.68</c:v>
                </c:pt>
              </c:numCache>
            </c:numRef>
          </c:val>
        </c:ser>
        <c:ser>
          <c:idx val="1"/>
          <c:order val="1"/>
          <c:tx>
            <c:strRef>
              <c:f>Sheet1!$J$13</c:f>
              <c:strCache>
                <c:ptCount val="1"/>
                <c:pt idx="0">
                  <c:v>升学率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Sheet1!$H$14:$H$16</c:f>
              <c:strCache>
                <c:ptCount val="3"/>
                <c:pt idx="0">
                  <c:v>2016届</c:v>
                </c:pt>
                <c:pt idx="1">
                  <c:v>2017届</c:v>
                </c:pt>
                <c:pt idx="2">
                  <c:v>2018届</c:v>
                </c:pt>
              </c:strCache>
            </c:strRef>
          </c:cat>
          <c:val>
            <c:numRef>
              <c:f>Sheet1!$J$14:$J$16</c:f>
              <c:numCache>
                <c:formatCode>0.00%</c:formatCode>
                <c:ptCount val="3"/>
                <c:pt idx="0">
                  <c:v>0.0296</c:v>
                </c:pt>
                <c:pt idx="1">
                  <c:v>0.0227</c:v>
                </c:pt>
                <c:pt idx="2">
                  <c:v>0.0152</c:v>
                </c:pt>
              </c:numCache>
            </c:numRef>
          </c:val>
        </c:ser>
        <c:ser>
          <c:idx val="2"/>
          <c:order val="2"/>
          <c:tx>
            <c:strRef>
              <c:f>Sheet1!$K$13</c:f>
              <c:strCache>
                <c:ptCount val="1"/>
                <c:pt idx="0">
                  <c:v>未就业率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Sheet1!$H$14:$H$16</c:f>
              <c:strCache>
                <c:ptCount val="3"/>
                <c:pt idx="0">
                  <c:v>2016届</c:v>
                </c:pt>
                <c:pt idx="1">
                  <c:v>2017届</c:v>
                </c:pt>
                <c:pt idx="2">
                  <c:v>2018届</c:v>
                </c:pt>
              </c:strCache>
            </c:strRef>
          </c:cat>
          <c:val>
            <c:numRef>
              <c:f>Sheet1!$K$14:$K$16</c:f>
              <c:numCache>
                <c:formatCode>0.00%</c:formatCode>
                <c:ptCount val="3"/>
                <c:pt idx="0">
                  <c:v>0.2272</c:v>
                </c:pt>
                <c:pt idx="1">
                  <c:v>0.3485</c:v>
                </c:pt>
                <c:pt idx="2">
                  <c:v>0.2908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9907704"/>
        <c:axId val="679909016"/>
      </c:barChart>
      <c:catAx>
        <c:axId val="679907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79909016"/>
        <c:crosses val="autoZero"/>
        <c:auto val="1"/>
        <c:lblAlgn val="ctr"/>
        <c:lblOffset val="100"/>
        <c:noMultiLvlLbl val="0"/>
      </c:catAx>
      <c:valAx>
        <c:axId val="679909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79907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2016</a:t>
            </a:r>
            <a:r>
              <a:rPr lang="zh-CN" altLang="en-US"/>
              <a:t>届</a:t>
            </a:r>
            <a:r>
              <a:rPr lang="en-US" altLang="zh-CN"/>
              <a:t>-2018</a:t>
            </a:r>
            <a:r>
              <a:rPr lang="zh-CN" altLang="en-US"/>
              <a:t>届毕业生就业流向性质情况</a:t>
            </a:r>
            <a:endParaRPr lang="zh-CN"/>
          </a:p>
        </c:rich>
      </c:tx>
      <c:layout>
        <c:manualLayout>
          <c:xMode val="edge"/>
          <c:yMode val="edge"/>
          <c:x val="0.183208442694663"/>
          <c:y val="0.03703703703703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党政机关，事业单位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2016届</c:v>
                </c:pt>
                <c:pt idx="1">
                  <c:v>2017届</c:v>
                </c:pt>
                <c:pt idx="2">
                  <c:v>2018届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0.03</c:v>
                </c:pt>
                <c:pt idx="1" c:formatCode="0.00%">
                  <c:v>0.025</c:v>
                </c:pt>
                <c:pt idx="2" c:formatCode="0.00%">
                  <c:v>0.028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国有企业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2016届</c:v>
                </c:pt>
                <c:pt idx="1">
                  <c:v>2017届</c:v>
                </c:pt>
                <c:pt idx="2">
                  <c:v>2018届</c:v>
                </c:pt>
              </c:strCache>
            </c:strRef>
          </c:cat>
          <c:val>
            <c:numRef>
              <c:f>Sheet1!$C$2:$C$4</c:f>
              <c:numCache>
                <c:formatCode>0.00%</c:formatCode>
                <c:ptCount val="3"/>
                <c:pt idx="0">
                  <c:v>0.235</c:v>
                </c:pt>
                <c:pt idx="1">
                  <c:v>0.295</c:v>
                </c:pt>
                <c:pt idx="2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民营企业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2016届</c:v>
                </c:pt>
                <c:pt idx="1">
                  <c:v>2017届</c:v>
                </c:pt>
                <c:pt idx="2">
                  <c:v>2018届</c:v>
                </c:pt>
              </c:strCache>
            </c:strRef>
          </c:cat>
          <c:val>
            <c:numRef>
              <c:f>Sheet1!$D$2:$D$4</c:f>
              <c:numCache>
                <c:formatCode>0.00%</c:formatCode>
                <c:ptCount val="3"/>
                <c:pt idx="0">
                  <c:v>0.635</c:v>
                </c:pt>
                <c:pt idx="1">
                  <c:v>0.625</c:v>
                </c:pt>
                <c:pt idx="2">
                  <c:v>0.65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其他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2016届</c:v>
                </c:pt>
                <c:pt idx="1">
                  <c:v>2017届</c:v>
                </c:pt>
                <c:pt idx="2">
                  <c:v>2018届</c:v>
                </c:pt>
              </c:strCache>
            </c:strRef>
          </c:cat>
          <c:val>
            <c:numRef>
              <c:f>Sheet1!$E$2:$E$4</c:f>
              <c:numCache>
                <c:formatCode>0%</c:formatCode>
                <c:ptCount val="3"/>
                <c:pt idx="0">
                  <c:v>0.13</c:v>
                </c:pt>
                <c:pt idx="1" c:formatCode="0.00%">
                  <c:v>0.0575</c:v>
                </c:pt>
                <c:pt idx="2" c:formatCode="0.00%">
                  <c:v>0.072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9911312"/>
        <c:axId val="679920496"/>
      </c:barChart>
      <c:catAx>
        <c:axId val="679911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79920496"/>
        <c:crosses val="autoZero"/>
        <c:auto val="1"/>
        <c:lblAlgn val="ctr"/>
        <c:lblOffset val="100"/>
        <c:noMultiLvlLbl val="0"/>
      </c:catAx>
      <c:valAx>
        <c:axId val="679920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79911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2016-2018</a:t>
            </a:r>
            <a:r>
              <a:rPr lang="zh-CN" altLang="en-US"/>
              <a:t>届毕业生就业流向地区情况</a:t>
            </a:r>
            <a:endParaRPr lang="zh-CN" altLang="en-US"/>
          </a:p>
        </c:rich>
      </c:tx>
      <c:layout>
        <c:manualLayout>
          <c:xMode val="edge"/>
          <c:yMode val="edge"/>
          <c:x val="0.233208442694663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Sheet1!$B$40</c:f>
              <c:strCache>
                <c:ptCount val="1"/>
                <c:pt idx="0">
                  <c:v>西部就业比列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Sheet1!$A$41:$A$43</c:f>
              <c:strCache>
                <c:ptCount val="3"/>
                <c:pt idx="0">
                  <c:v>2016届</c:v>
                </c:pt>
                <c:pt idx="1">
                  <c:v>2017届</c:v>
                </c:pt>
                <c:pt idx="2">
                  <c:v>2018届</c:v>
                </c:pt>
              </c:strCache>
            </c:strRef>
          </c:cat>
          <c:val>
            <c:numRef>
              <c:f>Sheet1!$B$41:$B$43</c:f>
              <c:numCache>
                <c:formatCode>0.00%</c:formatCode>
                <c:ptCount val="3"/>
                <c:pt idx="0">
                  <c:v>0.075</c:v>
                </c:pt>
                <c:pt idx="1">
                  <c:v>0.065</c:v>
                </c:pt>
                <c:pt idx="2">
                  <c:v>0.063</c:v>
                </c:pt>
              </c:numCache>
            </c:numRef>
          </c:val>
        </c:ser>
        <c:ser>
          <c:idx val="1"/>
          <c:order val="1"/>
          <c:tx>
            <c:strRef>
              <c:f>Sheet1!$C$40</c:f>
              <c:strCache>
                <c:ptCount val="1"/>
                <c:pt idx="0">
                  <c:v>南部就业比列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Sheet1!$A$41:$A$43</c:f>
              <c:strCache>
                <c:ptCount val="3"/>
                <c:pt idx="0">
                  <c:v>2016届</c:v>
                </c:pt>
                <c:pt idx="1">
                  <c:v>2017届</c:v>
                </c:pt>
                <c:pt idx="2">
                  <c:v>2018届</c:v>
                </c:pt>
              </c:strCache>
            </c:strRef>
          </c:cat>
          <c:val>
            <c:numRef>
              <c:f>Sheet1!$C$41:$C$43</c:f>
              <c:numCache>
                <c:formatCode>0.00%</c:formatCode>
                <c:ptCount val="3"/>
                <c:pt idx="0">
                  <c:v>0.092</c:v>
                </c:pt>
                <c:pt idx="1">
                  <c:v>0.155</c:v>
                </c:pt>
                <c:pt idx="2">
                  <c:v>0.137</c:v>
                </c:pt>
              </c:numCache>
            </c:numRef>
          </c:val>
        </c:ser>
        <c:ser>
          <c:idx val="2"/>
          <c:order val="2"/>
          <c:tx>
            <c:strRef>
              <c:f>Sheet1!$D$40</c:f>
              <c:strCache>
                <c:ptCount val="1"/>
                <c:pt idx="0">
                  <c:v>东部就业比列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Sheet1!$A$41:$A$43</c:f>
              <c:strCache>
                <c:ptCount val="3"/>
                <c:pt idx="0">
                  <c:v>2016届</c:v>
                </c:pt>
                <c:pt idx="1">
                  <c:v>2017届</c:v>
                </c:pt>
                <c:pt idx="2">
                  <c:v>2018届</c:v>
                </c:pt>
              </c:strCache>
            </c:strRef>
          </c:cat>
          <c:val>
            <c:numRef>
              <c:f>Sheet1!$D$41:$D$43</c:f>
              <c:numCache>
                <c:formatCode>0.00%</c:formatCode>
                <c:ptCount val="3"/>
                <c:pt idx="0">
                  <c:v>0.4025</c:v>
                </c:pt>
                <c:pt idx="1">
                  <c:v>0.5253</c:v>
                </c:pt>
                <c:pt idx="2" c:formatCode="0%">
                  <c:v>0.6</c:v>
                </c:pt>
              </c:numCache>
            </c:numRef>
          </c:val>
        </c:ser>
        <c:ser>
          <c:idx val="3"/>
          <c:order val="3"/>
          <c:tx>
            <c:strRef>
              <c:f>Sheet1!$E$40</c:f>
              <c:strCache>
                <c:ptCount val="1"/>
                <c:pt idx="0">
                  <c:v>京津沪就业比列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Sheet1!$A$41:$A$43</c:f>
              <c:strCache>
                <c:ptCount val="3"/>
                <c:pt idx="0">
                  <c:v>2016届</c:v>
                </c:pt>
                <c:pt idx="1">
                  <c:v>2017届</c:v>
                </c:pt>
                <c:pt idx="2">
                  <c:v>2018届</c:v>
                </c:pt>
              </c:strCache>
            </c:strRef>
          </c:cat>
          <c:val>
            <c:numRef>
              <c:f>Sheet1!$E$41:$E$43</c:f>
              <c:numCache>
                <c:formatCode>0.00%</c:formatCode>
                <c:ptCount val="3"/>
                <c:pt idx="0">
                  <c:v>0.4305</c:v>
                </c:pt>
                <c:pt idx="1">
                  <c:v>0.2547</c:v>
                </c:pt>
                <c:pt idx="2" c:formatCode="0%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1089592"/>
        <c:axId val="581089920"/>
      </c:barChart>
      <c:catAx>
        <c:axId val="581089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089920"/>
        <c:crosses val="autoZero"/>
        <c:auto val="1"/>
        <c:lblAlgn val="ctr"/>
        <c:lblOffset val="100"/>
        <c:noMultiLvlLbl val="0"/>
      </c:catAx>
      <c:valAx>
        <c:axId val="581089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089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用人单位对毕业生的总体满意度</a:t>
            </a:r>
            <a:endParaRPr 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Sheet1!$B$121</c:f>
              <c:strCache>
                <c:ptCount val="1"/>
                <c:pt idx="0">
                  <c:v>非常满意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Sheet1!$C$120:$E$120</c:f>
              <c:strCache>
                <c:ptCount val="3"/>
                <c:pt idx="0">
                  <c:v>职业能力</c:v>
                </c:pt>
                <c:pt idx="1">
                  <c:v>职业素养</c:v>
                </c:pt>
                <c:pt idx="2">
                  <c:v>专业素养</c:v>
                </c:pt>
              </c:strCache>
            </c:strRef>
          </c:cat>
          <c:val>
            <c:numRef>
              <c:f>Sheet1!$C$121:$E$121</c:f>
              <c:numCache>
                <c:formatCode>0%</c:formatCode>
                <c:ptCount val="3"/>
                <c:pt idx="0">
                  <c:v>0.15</c:v>
                </c:pt>
                <c:pt idx="1">
                  <c:v>0.25</c:v>
                </c:pt>
                <c:pt idx="2">
                  <c:v>0.18</c:v>
                </c:pt>
              </c:numCache>
            </c:numRef>
          </c:val>
        </c:ser>
        <c:ser>
          <c:idx val="1"/>
          <c:order val="1"/>
          <c:tx>
            <c:strRef>
              <c:f>Sheet1!$B$122</c:f>
              <c:strCache>
                <c:ptCount val="1"/>
                <c:pt idx="0">
                  <c:v>满意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Sheet1!$C$120:$E$120</c:f>
              <c:strCache>
                <c:ptCount val="3"/>
                <c:pt idx="0">
                  <c:v>职业能力</c:v>
                </c:pt>
                <c:pt idx="1">
                  <c:v>职业素养</c:v>
                </c:pt>
                <c:pt idx="2">
                  <c:v>专业素养</c:v>
                </c:pt>
              </c:strCache>
            </c:strRef>
          </c:cat>
          <c:val>
            <c:numRef>
              <c:f>Sheet1!$C$122:$E$122</c:f>
              <c:numCache>
                <c:formatCode>0%</c:formatCode>
                <c:ptCount val="3"/>
                <c:pt idx="0">
                  <c:v>0.59</c:v>
                </c:pt>
                <c:pt idx="1">
                  <c:v>0.6</c:v>
                </c:pt>
                <c:pt idx="2">
                  <c:v>0.62</c:v>
                </c:pt>
              </c:numCache>
            </c:numRef>
          </c:val>
        </c:ser>
        <c:ser>
          <c:idx val="2"/>
          <c:order val="2"/>
          <c:tx>
            <c:strRef>
              <c:f>Sheet1!$B$123</c:f>
              <c:strCache>
                <c:ptCount val="1"/>
                <c:pt idx="0">
                  <c:v>合格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Sheet1!$C$120:$E$120</c:f>
              <c:strCache>
                <c:ptCount val="3"/>
                <c:pt idx="0">
                  <c:v>职业能力</c:v>
                </c:pt>
                <c:pt idx="1">
                  <c:v>职业素养</c:v>
                </c:pt>
                <c:pt idx="2">
                  <c:v>专业素养</c:v>
                </c:pt>
              </c:strCache>
            </c:strRef>
          </c:cat>
          <c:val>
            <c:numRef>
              <c:f>Sheet1!$C$123:$E$123</c:f>
              <c:numCache>
                <c:formatCode>0%</c:formatCode>
                <c:ptCount val="3"/>
                <c:pt idx="0">
                  <c:v>0.21</c:v>
                </c:pt>
                <c:pt idx="1">
                  <c:v>0.28</c:v>
                </c:pt>
                <c:pt idx="2">
                  <c:v>0.18</c:v>
                </c:pt>
              </c:numCache>
            </c:numRef>
          </c:val>
        </c:ser>
        <c:ser>
          <c:idx val="3"/>
          <c:order val="3"/>
          <c:tx>
            <c:strRef>
              <c:f>Sheet1!$B$124</c:f>
              <c:strCache>
                <c:ptCount val="1"/>
                <c:pt idx="0">
                  <c:v>不满意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Sheet1!$C$120:$E$120</c:f>
              <c:strCache>
                <c:ptCount val="3"/>
                <c:pt idx="0">
                  <c:v>职业能力</c:v>
                </c:pt>
                <c:pt idx="1">
                  <c:v>职业素养</c:v>
                </c:pt>
                <c:pt idx="2">
                  <c:v>专业素养</c:v>
                </c:pt>
              </c:strCache>
            </c:strRef>
          </c:cat>
          <c:val>
            <c:numRef>
              <c:f>Sheet1!$C$124:$E$124</c:f>
              <c:numCache>
                <c:formatCode>0%</c:formatCode>
                <c:ptCount val="3"/>
                <c:pt idx="0">
                  <c:v>0.05</c:v>
                </c:pt>
                <c:pt idx="1">
                  <c:v>0.07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4980760"/>
        <c:axId val="384975512"/>
      </c:barChart>
      <c:catAx>
        <c:axId val="384980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84975512"/>
        <c:crosses val="autoZero"/>
        <c:auto val="1"/>
        <c:lblAlgn val="ctr"/>
        <c:lblOffset val="100"/>
        <c:noMultiLvlLbl val="0"/>
      </c:catAx>
      <c:valAx>
        <c:axId val="384975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84980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用人单位对校企合作的评价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Sheet1!$B$135</c:f>
              <c:strCache>
                <c:ptCount val="1"/>
                <c:pt idx="0">
                  <c:v>非常满意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Sheet1!$C$134:$E$134</c:f>
              <c:strCache>
                <c:ptCount val="3"/>
                <c:pt idx="0">
                  <c:v>联合培养</c:v>
                </c:pt>
                <c:pt idx="1">
                  <c:v>企业实训</c:v>
                </c:pt>
                <c:pt idx="2">
                  <c:v>产学结合</c:v>
                </c:pt>
              </c:strCache>
            </c:strRef>
          </c:cat>
          <c:val>
            <c:numRef>
              <c:f>Sheet1!$C$135:$E$135</c:f>
              <c:numCache>
                <c:formatCode>0%</c:formatCode>
                <c:ptCount val="3"/>
                <c:pt idx="0">
                  <c:v>0.25</c:v>
                </c:pt>
                <c:pt idx="1">
                  <c:v>0.1</c:v>
                </c:pt>
                <c:pt idx="2">
                  <c:v>0.2</c:v>
                </c:pt>
              </c:numCache>
            </c:numRef>
          </c:val>
        </c:ser>
        <c:ser>
          <c:idx val="1"/>
          <c:order val="1"/>
          <c:tx>
            <c:strRef>
              <c:f>Sheet1!$B$136</c:f>
              <c:strCache>
                <c:ptCount val="1"/>
                <c:pt idx="0">
                  <c:v>满意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Sheet1!$C$134:$E$134</c:f>
              <c:strCache>
                <c:ptCount val="3"/>
                <c:pt idx="0">
                  <c:v>联合培养</c:v>
                </c:pt>
                <c:pt idx="1">
                  <c:v>企业实训</c:v>
                </c:pt>
                <c:pt idx="2">
                  <c:v>产学结合</c:v>
                </c:pt>
              </c:strCache>
            </c:strRef>
          </c:cat>
          <c:val>
            <c:numRef>
              <c:f>Sheet1!$C$136:$E$136</c:f>
              <c:numCache>
                <c:formatCode>0%</c:formatCode>
                <c:ptCount val="3"/>
                <c:pt idx="0">
                  <c:v>0.63</c:v>
                </c:pt>
                <c:pt idx="1">
                  <c:v>0.4</c:v>
                </c:pt>
                <c:pt idx="2">
                  <c:v>0.3</c:v>
                </c:pt>
              </c:numCache>
            </c:numRef>
          </c:val>
        </c:ser>
        <c:ser>
          <c:idx val="2"/>
          <c:order val="2"/>
          <c:tx>
            <c:strRef>
              <c:f>Sheet1!$B$137</c:f>
              <c:strCache>
                <c:ptCount val="1"/>
                <c:pt idx="0">
                  <c:v>合格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Sheet1!$C$134:$E$134</c:f>
              <c:strCache>
                <c:ptCount val="3"/>
                <c:pt idx="0">
                  <c:v>联合培养</c:v>
                </c:pt>
                <c:pt idx="1">
                  <c:v>企业实训</c:v>
                </c:pt>
                <c:pt idx="2">
                  <c:v>产学结合</c:v>
                </c:pt>
              </c:strCache>
            </c:strRef>
          </c:cat>
          <c:val>
            <c:numRef>
              <c:f>Sheet1!$C$137:$E$137</c:f>
              <c:numCache>
                <c:formatCode>0%</c:formatCode>
                <c:ptCount val="3"/>
                <c:pt idx="0">
                  <c:v>0.1</c:v>
                </c:pt>
                <c:pt idx="1">
                  <c:v>0.49</c:v>
                </c:pt>
                <c:pt idx="2">
                  <c:v>0.38</c:v>
                </c:pt>
              </c:numCache>
            </c:numRef>
          </c:val>
        </c:ser>
        <c:ser>
          <c:idx val="3"/>
          <c:order val="3"/>
          <c:tx>
            <c:strRef>
              <c:f>Sheet1!$B$138</c:f>
              <c:strCache>
                <c:ptCount val="1"/>
                <c:pt idx="0">
                  <c:v>不满意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Sheet1!$C$134:$E$134</c:f>
              <c:strCache>
                <c:ptCount val="3"/>
                <c:pt idx="0">
                  <c:v>联合培养</c:v>
                </c:pt>
                <c:pt idx="1">
                  <c:v>企业实训</c:v>
                </c:pt>
                <c:pt idx="2">
                  <c:v>产学结合</c:v>
                </c:pt>
              </c:strCache>
            </c:strRef>
          </c:cat>
          <c:val>
            <c:numRef>
              <c:f>Sheet1!$C$138:$E$138</c:f>
              <c:numCache>
                <c:formatCode>0%</c:formatCode>
                <c:ptCount val="3"/>
                <c:pt idx="0">
                  <c:v>0.02</c:v>
                </c:pt>
                <c:pt idx="1">
                  <c:v>0.01</c:v>
                </c:pt>
                <c:pt idx="2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15191448"/>
        <c:axId val="815188168"/>
      </c:barChart>
      <c:catAx>
        <c:axId val="815191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15188168"/>
        <c:crosses val="autoZero"/>
        <c:auto val="1"/>
        <c:lblAlgn val="ctr"/>
        <c:lblOffset val="100"/>
        <c:noMultiLvlLbl val="0"/>
      </c:catAx>
      <c:valAx>
        <c:axId val="815188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15191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毕业生专业与岗位匹配调查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Sheet1!$B$148:$E$148</c:f>
              <c:strCache>
                <c:ptCount val="4"/>
                <c:pt idx="0">
                  <c:v>一致</c:v>
                </c:pt>
                <c:pt idx="1">
                  <c:v>较相关</c:v>
                </c:pt>
                <c:pt idx="2">
                  <c:v>相关</c:v>
                </c:pt>
                <c:pt idx="3">
                  <c:v>不相关</c:v>
                </c:pt>
              </c:strCache>
            </c:strRef>
          </c:cat>
          <c:val>
            <c:numRef>
              <c:f>Sheet1!$B$149:$E$149</c:f>
              <c:numCache>
                <c:formatCode>0.00%</c:formatCode>
                <c:ptCount val="4"/>
                <c:pt idx="0">
                  <c:v>0.352</c:v>
                </c:pt>
                <c:pt idx="1">
                  <c:v>0.438</c:v>
                </c:pt>
                <c:pt idx="2" c:formatCode="0%">
                  <c:v>0.09</c:v>
                </c:pt>
                <c:pt idx="3" c:formatCode="0%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毕业生工作转正后资数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Sheet1!$B$163:$E$163</c:f>
              <c:strCache>
                <c:ptCount val="4"/>
                <c:pt idx="0">
                  <c:v>2000以下</c:v>
                </c:pt>
                <c:pt idx="1">
                  <c:v>2000-2999</c:v>
                </c:pt>
                <c:pt idx="2">
                  <c:v>3000-3999</c:v>
                </c:pt>
                <c:pt idx="3">
                  <c:v>4000以上</c:v>
                </c:pt>
              </c:strCache>
            </c:strRef>
          </c:cat>
          <c:val>
            <c:numRef>
              <c:f>Sheet1!$B$164:$E$164</c:f>
              <c:numCache>
                <c:formatCode>0.00%</c:formatCode>
                <c:ptCount val="4"/>
                <c:pt idx="0">
                  <c:v>0.05</c:v>
                </c:pt>
                <c:pt idx="1" c:formatCode="0%">
                  <c:v>0.55</c:v>
                </c:pt>
                <c:pt idx="2" c:formatCode="0%">
                  <c:v>0.25</c:v>
                </c:pt>
                <c:pt idx="3" c:formatCode="0%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毕业生工作满意度</a:t>
            </a:r>
            <a:endParaRPr 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Sheet1!$B$174:$E$174</c:f>
              <c:strCache>
                <c:ptCount val="4"/>
                <c:pt idx="0">
                  <c:v>很满意</c:v>
                </c:pt>
                <c:pt idx="1">
                  <c:v>满意</c:v>
                </c:pt>
                <c:pt idx="2">
                  <c:v>一般</c:v>
                </c:pt>
                <c:pt idx="3">
                  <c:v>不满意</c:v>
                </c:pt>
              </c:strCache>
            </c:strRef>
          </c:cat>
          <c:val>
            <c:numRef>
              <c:f>Sheet1!$B$175:$E$175</c:f>
              <c:numCache>
                <c:formatCode>0%</c:formatCode>
                <c:ptCount val="4"/>
                <c:pt idx="0">
                  <c:v>0.2</c:v>
                </c:pt>
                <c:pt idx="1" c:formatCode="0.00%">
                  <c:v>0.5</c:v>
                </c:pt>
                <c:pt idx="2" c:formatCode="0.00%">
                  <c:v>0.233</c:v>
                </c:pt>
                <c:pt idx="3" c:formatCode="0.00%">
                  <c:v>0.067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718</Words>
  <Characters>4094</Characters>
  <Lines>34</Lines>
  <Paragraphs>9</Paragraphs>
  <TotalTime>23</TotalTime>
  <ScaleCrop>false</ScaleCrop>
  <LinksUpToDate>false</LinksUpToDate>
  <CharactersWithSpaces>4803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2015-11-26T06:38:00Z</dcterms:created>
  <dc:creator>Administrator</dc:creator>
  <cp:lastModifiedBy>Administrator</cp:lastModifiedBy>
  <cp:lastPrinted>2017-12-19T08:40:00Z</cp:lastPrinted>
  <dcterms:modified xsi:type="dcterms:W3CDTF">2018-12-26T02:54:25Z</dcterms:modified>
  <dc:title>  _石家庄城市经济职业学院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